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3B5A" w14:textId="39E923B8" w:rsidR="00F20A17" w:rsidRPr="005D0531" w:rsidRDefault="00F20A17" w:rsidP="005D0531">
      <w:pPr>
        <w:jc w:val="center"/>
        <w:rPr>
          <w:rFonts w:ascii="Arial" w:hAnsi="Arial" w:cs="Arial"/>
          <w:b/>
        </w:rPr>
      </w:pPr>
      <w:r w:rsidRPr="005D0531">
        <w:rPr>
          <w:rFonts w:ascii="Arial" w:hAnsi="Arial" w:cs="Arial"/>
          <w:b/>
        </w:rPr>
        <w:t>Human Tissue Act 2004</w:t>
      </w:r>
    </w:p>
    <w:p w14:paraId="2ACFAC96" w14:textId="77777777" w:rsidR="00F20A17" w:rsidRPr="005D0531" w:rsidRDefault="00F20A17" w:rsidP="005D0531">
      <w:pPr>
        <w:jc w:val="center"/>
        <w:rPr>
          <w:rFonts w:ascii="Arial" w:hAnsi="Arial" w:cs="Arial"/>
          <w:b/>
        </w:rPr>
      </w:pPr>
    </w:p>
    <w:p w14:paraId="7C1CB581" w14:textId="77777777" w:rsidR="00F20A17" w:rsidRPr="005D0531" w:rsidRDefault="00F20A17" w:rsidP="005D0531">
      <w:pPr>
        <w:jc w:val="center"/>
        <w:rPr>
          <w:rFonts w:ascii="Arial" w:hAnsi="Arial" w:cs="Arial"/>
          <w:b/>
        </w:rPr>
      </w:pPr>
      <w:r w:rsidRPr="005D0531">
        <w:rPr>
          <w:rFonts w:ascii="Arial" w:hAnsi="Arial" w:cs="Arial"/>
          <w:b/>
        </w:rPr>
        <w:t>University of Bristol Code of Practice</w:t>
      </w:r>
    </w:p>
    <w:p w14:paraId="746C0CD9" w14:textId="77777777" w:rsidR="00F20A17" w:rsidRDefault="00F20A17"/>
    <w:p w14:paraId="7035CBC1" w14:textId="77777777" w:rsidR="00F20A17" w:rsidRPr="00E32B6F" w:rsidRDefault="005D0531">
      <w:pPr>
        <w:rPr>
          <w:rFonts w:ascii="Arial" w:hAnsi="Arial" w:cs="Arial"/>
          <w:b/>
        </w:rPr>
      </w:pPr>
      <w:r>
        <w:rPr>
          <w:rFonts w:ascii="Arial" w:hAnsi="Arial" w:cs="Arial"/>
          <w:b/>
        </w:rPr>
        <w:t xml:space="preserve">Table of Contents </w:t>
      </w:r>
    </w:p>
    <w:p w14:paraId="5AD68CBE" w14:textId="77777777" w:rsidR="00971771" w:rsidRDefault="00971771" w:rsidP="00971771">
      <w:pPr>
        <w:rPr>
          <w:rFonts w:ascii="Arial" w:hAnsi="Arial" w:cs="Arial"/>
          <w:b/>
        </w:rPr>
      </w:pPr>
    </w:p>
    <w:p w14:paraId="73E248EF" w14:textId="1BC84E0D" w:rsidR="005D0531" w:rsidRDefault="005D0531" w:rsidP="00B85D31">
      <w:pPr>
        <w:pStyle w:val="TOC1"/>
        <w:tabs>
          <w:tab w:val="right" w:leader="dot" w:pos="8296"/>
        </w:tabs>
        <w:rPr>
          <w:rFonts w:asciiTheme="minorHAnsi" w:eastAsiaTheme="minorEastAsia" w:hAnsiTheme="minorHAnsi" w:cstheme="minorBidi"/>
          <w:noProof/>
          <w:sz w:val="22"/>
          <w:szCs w:val="22"/>
          <w:lang w:eastAsia="en-GB"/>
        </w:rPr>
      </w:pPr>
      <w:r>
        <w:rPr>
          <w:rFonts w:cs="Arial"/>
          <w:b/>
        </w:rPr>
        <w:fldChar w:fldCharType="begin"/>
      </w:r>
      <w:r>
        <w:rPr>
          <w:rFonts w:cs="Arial"/>
          <w:b/>
        </w:rPr>
        <w:instrText xml:space="preserve"> TOC \o "1-3" \h \z \u </w:instrText>
      </w:r>
      <w:r>
        <w:rPr>
          <w:rFonts w:cs="Arial"/>
          <w:b/>
        </w:rPr>
        <w:fldChar w:fldCharType="separate"/>
      </w:r>
      <w:hyperlink w:anchor="_Toc417640760" w:history="1">
        <w:r w:rsidRPr="00692B67">
          <w:rPr>
            <w:rStyle w:val="Hyperlink"/>
            <w:noProof/>
          </w:rPr>
          <w:t>Introduction and aims of Code of Practice</w:t>
        </w:r>
        <w:r>
          <w:rPr>
            <w:noProof/>
            <w:webHidden/>
          </w:rPr>
          <w:tab/>
        </w:r>
        <w:r>
          <w:rPr>
            <w:noProof/>
            <w:webHidden/>
          </w:rPr>
          <w:fldChar w:fldCharType="begin"/>
        </w:r>
        <w:r>
          <w:rPr>
            <w:noProof/>
            <w:webHidden/>
          </w:rPr>
          <w:instrText xml:space="preserve"> PAGEREF _Toc417640760 \h </w:instrText>
        </w:r>
        <w:r>
          <w:rPr>
            <w:noProof/>
            <w:webHidden/>
          </w:rPr>
        </w:r>
        <w:r>
          <w:rPr>
            <w:noProof/>
            <w:webHidden/>
          </w:rPr>
          <w:fldChar w:fldCharType="separate"/>
        </w:r>
        <w:r w:rsidR="00955CC4">
          <w:rPr>
            <w:noProof/>
            <w:webHidden/>
          </w:rPr>
          <w:t>1</w:t>
        </w:r>
        <w:r>
          <w:rPr>
            <w:noProof/>
            <w:webHidden/>
          </w:rPr>
          <w:fldChar w:fldCharType="end"/>
        </w:r>
      </w:hyperlink>
    </w:p>
    <w:p w14:paraId="4B14F8F4" w14:textId="68F6DC0A" w:rsidR="005D0531" w:rsidRDefault="00F17451" w:rsidP="00B85D31">
      <w:pPr>
        <w:pStyle w:val="TOC1"/>
        <w:tabs>
          <w:tab w:val="right" w:leader="dot" w:pos="8296"/>
        </w:tabs>
        <w:rPr>
          <w:rFonts w:asciiTheme="minorHAnsi" w:eastAsiaTheme="minorEastAsia" w:hAnsiTheme="minorHAnsi" w:cstheme="minorBidi"/>
          <w:noProof/>
          <w:sz w:val="22"/>
          <w:szCs w:val="22"/>
          <w:lang w:eastAsia="en-GB"/>
        </w:rPr>
      </w:pPr>
      <w:hyperlink w:anchor="_Toc417640761" w:history="1">
        <w:r w:rsidR="005D0531" w:rsidRPr="00692B67">
          <w:rPr>
            <w:rStyle w:val="Hyperlink"/>
            <w:noProof/>
          </w:rPr>
          <w:t>Part A: Regulatory framework, Licences and the Designated Individual</w:t>
        </w:r>
        <w:r w:rsidR="005D0531">
          <w:rPr>
            <w:noProof/>
            <w:webHidden/>
          </w:rPr>
          <w:tab/>
        </w:r>
        <w:r w:rsidR="005D0531">
          <w:rPr>
            <w:noProof/>
            <w:webHidden/>
          </w:rPr>
          <w:fldChar w:fldCharType="begin"/>
        </w:r>
        <w:r w:rsidR="005D0531">
          <w:rPr>
            <w:noProof/>
            <w:webHidden/>
          </w:rPr>
          <w:instrText xml:space="preserve"> PAGEREF _Toc417640761 \h </w:instrText>
        </w:r>
        <w:r w:rsidR="005D0531">
          <w:rPr>
            <w:noProof/>
            <w:webHidden/>
          </w:rPr>
        </w:r>
        <w:r w:rsidR="005D0531">
          <w:rPr>
            <w:noProof/>
            <w:webHidden/>
          </w:rPr>
          <w:fldChar w:fldCharType="separate"/>
        </w:r>
        <w:r w:rsidR="00955CC4">
          <w:rPr>
            <w:noProof/>
            <w:webHidden/>
          </w:rPr>
          <w:t>3</w:t>
        </w:r>
        <w:r w:rsidR="005D0531">
          <w:rPr>
            <w:noProof/>
            <w:webHidden/>
          </w:rPr>
          <w:fldChar w:fldCharType="end"/>
        </w:r>
      </w:hyperlink>
    </w:p>
    <w:p w14:paraId="7E9F737E" w14:textId="52F0C91F" w:rsidR="005D0531" w:rsidRDefault="00F17451" w:rsidP="00B85D31">
      <w:pPr>
        <w:pStyle w:val="TOC1"/>
        <w:tabs>
          <w:tab w:val="left" w:pos="440"/>
          <w:tab w:val="right" w:leader="dot" w:pos="8296"/>
        </w:tabs>
        <w:rPr>
          <w:rFonts w:asciiTheme="minorHAnsi" w:eastAsiaTheme="minorEastAsia" w:hAnsiTheme="minorHAnsi" w:cstheme="minorBidi"/>
          <w:noProof/>
          <w:sz w:val="22"/>
          <w:szCs w:val="22"/>
          <w:lang w:eastAsia="en-GB"/>
        </w:rPr>
      </w:pPr>
      <w:hyperlink w:anchor="_Toc417640762" w:history="1">
        <w:r w:rsidR="005D0531" w:rsidRPr="00692B67">
          <w:rPr>
            <w:rStyle w:val="Hyperlink"/>
            <w:noProof/>
          </w:rPr>
          <w:t>1.</w:t>
        </w:r>
        <w:r w:rsidR="005D0531">
          <w:rPr>
            <w:rFonts w:asciiTheme="minorHAnsi" w:eastAsiaTheme="minorEastAsia" w:hAnsiTheme="minorHAnsi" w:cstheme="minorBidi"/>
            <w:noProof/>
            <w:sz w:val="22"/>
            <w:szCs w:val="22"/>
            <w:lang w:eastAsia="en-GB"/>
          </w:rPr>
          <w:tab/>
        </w:r>
        <w:r w:rsidR="005D0531" w:rsidRPr="00692B67">
          <w:rPr>
            <w:rStyle w:val="Hyperlink"/>
            <w:noProof/>
          </w:rPr>
          <w:t>Regulatory framework</w:t>
        </w:r>
        <w:r w:rsidR="005D0531">
          <w:rPr>
            <w:noProof/>
            <w:webHidden/>
          </w:rPr>
          <w:tab/>
        </w:r>
        <w:r w:rsidR="005D0531">
          <w:rPr>
            <w:noProof/>
            <w:webHidden/>
          </w:rPr>
          <w:fldChar w:fldCharType="begin"/>
        </w:r>
        <w:r w:rsidR="005D0531">
          <w:rPr>
            <w:noProof/>
            <w:webHidden/>
          </w:rPr>
          <w:instrText xml:space="preserve"> PAGEREF _Toc417640762 \h </w:instrText>
        </w:r>
        <w:r w:rsidR="005D0531">
          <w:rPr>
            <w:noProof/>
            <w:webHidden/>
          </w:rPr>
        </w:r>
        <w:r w:rsidR="005D0531">
          <w:rPr>
            <w:noProof/>
            <w:webHidden/>
          </w:rPr>
          <w:fldChar w:fldCharType="separate"/>
        </w:r>
        <w:r w:rsidR="00955CC4">
          <w:rPr>
            <w:noProof/>
            <w:webHidden/>
          </w:rPr>
          <w:t>3</w:t>
        </w:r>
        <w:r w:rsidR="005D0531">
          <w:rPr>
            <w:noProof/>
            <w:webHidden/>
          </w:rPr>
          <w:fldChar w:fldCharType="end"/>
        </w:r>
      </w:hyperlink>
    </w:p>
    <w:p w14:paraId="461E9438" w14:textId="36908FCA" w:rsidR="005D0531" w:rsidRDefault="00F17451" w:rsidP="00B85D31">
      <w:pPr>
        <w:pStyle w:val="TOC1"/>
        <w:tabs>
          <w:tab w:val="left" w:pos="440"/>
          <w:tab w:val="right" w:leader="dot" w:pos="8296"/>
        </w:tabs>
        <w:rPr>
          <w:rFonts w:asciiTheme="minorHAnsi" w:eastAsiaTheme="minorEastAsia" w:hAnsiTheme="minorHAnsi" w:cstheme="minorBidi"/>
          <w:noProof/>
          <w:sz w:val="22"/>
          <w:szCs w:val="22"/>
          <w:lang w:eastAsia="en-GB"/>
        </w:rPr>
      </w:pPr>
      <w:hyperlink w:anchor="_Toc417640763" w:history="1">
        <w:r w:rsidR="005D0531" w:rsidRPr="00692B67">
          <w:rPr>
            <w:rStyle w:val="Hyperlink"/>
            <w:noProof/>
          </w:rPr>
          <w:t>2.</w:t>
        </w:r>
        <w:r w:rsidR="005D0531">
          <w:rPr>
            <w:rFonts w:asciiTheme="minorHAnsi" w:eastAsiaTheme="minorEastAsia" w:hAnsiTheme="minorHAnsi" w:cstheme="minorBidi"/>
            <w:noProof/>
            <w:sz w:val="22"/>
            <w:szCs w:val="22"/>
            <w:lang w:eastAsia="en-GB"/>
          </w:rPr>
          <w:tab/>
        </w:r>
        <w:r w:rsidR="005D0531" w:rsidRPr="00692B67">
          <w:rPr>
            <w:rStyle w:val="Hyperlink"/>
            <w:noProof/>
          </w:rPr>
          <w:t>University arrangements for compliance with HT Act</w:t>
        </w:r>
        <w:r w:rsidR="005D0531">
          <w:rPr>
            <w:noProof/>
            <w:webHidden/>
          </w:rPr>
          <w:tab/>
        </w:r>
        <w:r w:rsidR="005D0531">
          <w:rPr>
            <w:noProof/>
            <w:webHidden/>
          </w:rPr>
          <w:fldChar w:fldCharType="begin"/>
        </w:r>
        <w:r w:rsidR="005D0531">
          <w:rPr>
            <w:noProof/>
            <w:webHidden/>
          </w:rPr>
          <w:instrText xml:space="preserve"> PAGEREF _Toc417640763 \h </w:instrText>
        </w:r>
        <w:r w:rsidR="005D0531">
          <w:rPr>
            <w:noProof/>
            <w:webHidden/>
          </w:rPr>
        </w:r>
        <w:r w:rsidR="005D0531">
          <w:rPr>
            <w:noProof/>
            <w:webHidden/>
          </w:rPr>
          <w:fldChar w:fldCharType="separate"/>
        </w:r>
        <w:r w:rsidR="00955CC4">
          <w:rPr>
            <w:noProof/>
            <w:webHidden/>
          </w:rPr>
          <w:t>4</w:t>
        </w:r>
        <w:r w:rsidR="005D0531">
          <w:rPr>
            <w:noProof/>
            <w:webHidden/>
          </w:rPr>
          <w:fldChar w:fldCharType="end"/>
        </w:r>
      </w:hyperlink>
    </w:p>
    <w:p w14:paraId="1E291478" w14:textId="5D10FD81" w:rsidR="005D0531" w:rsidRDefault="00F17451" w:rsidP="00B85D31">
      <w:pPr>
        <w:pStyle w:val="TOC1"/>
        <w:tabs>
          <w:tab w:val="left" w:pos="440"/>
          <w:tab w:val="right" w:leader="dot" w:pos="8296"/>
        </w:tabs>
        <w:rPr>
          <w:rFonts w:asciiTheme="minorHAnsi" w:eastAsiaTheme="minorEastAsia" w:hAnsiTheme="minorHAnsi" w:cstheme="minorBidi"/>
          <w:noProof/>
          <w:sz w:val="22"/>
          <w:szCs w:val="22"/>
          <w:lang w:eastAsia="en-GB"/>
        </w:rPr>
      </w:pPr>
      <w:hyperlink w:anchor="_Toc417640764" w:history="1">
        <w:r w:rsidR="005D0531" w:rsidRPr="00692B67">
          <w:rPr>
            <w:rStyle w:val="Hyperlink"/>
            <w:noProof/>
          </w:rPr>
          <w:t>3.</w:t>
        </w:r>
        <w:r w:rsidR="005D0531">
          <w:rPr>
            <w:rFonts w:asciiTheme="minorHAnsi" w:eastAsiaTheme="minorEastAsia" w:hAnsiTheme="minorHAnsi" w:cstheme="minorBidi"/>
            <w:noProof/>
            <w:sz w:val="22"/>
            <w:szCs w:val="22"/>
            <w:lang w:eastAsia="en-GB"/>
          </w:rPr>
          <w:tab/>
        </w:r>
        <w:r w:rsidR="005D0531" w:rsidRPr="00692B67">
          <w:rPr>
            <w:rStyle w:val="Hyperlink"/>
            <w:noProof/>
          </w:rPr>
          <w:t>What do I need to know about licences and consent?</w:t>
        </w:r>
        <w:r w:rsidR="005D0531">
          <w:rPr>
            <w:noProof/>
            <w:webHidden/>
          </w:rPr>
          <w:tab/>
        </w:r>
        <w:r w:rsidR="005D0531">
          <w:rPr>
            <w:noProof/>
            <w:webHidden/>
          </w:rPr>
          <w:fldChar w:fldCharType="begin"/>
        </w:r>
        <w:r w:rsidR="005D0531">
          <w:rPr>
            <w:noProof/>
            <w:webHidden/>
          </w:rPr>
          <w:instrText xml:space="preserve"> PAGEREF _Toc417640764 \h </w:instrText>
        </w:r>
        <w:r w:rsidR="005D0531">
          <w:rPr>
            <w:noProof/>
            <w:webHidden/>
          </w:rPr>
        </w:r>
        <w:r w:rsidR="005D0531">
          <w:rPr>
            <w:noProof/>
            <w:webHidden/>
          </w:rPr>
          <w:fldChar w:fldCharType="separate"/>
        </w:r>
        <w:r w:rsidR="00955CC4">
          <w:rPr>
            <w:noProof/>
            <w:webHidden/>
          </w:rPr>
          <w:t>6</w:t>
        </w:r>
        <w:r w:rsidR="005D0531">
          <w:rPr>
            <w:noProof/>
            <w:webHidden/>
          </w:rPr>
          <w:fldChar w:fldCharType="end"/>
        </w:r>
      </w:hyperlink>
    </w:p>
    <w:p w14:paraId="2902F731" w14:textId="3CD4509F" w:rsidR="005D0531" w:rsidRDefault="00F17451" w:rsidP="00B85D31">
      <w:pPr>
        <w:pStyle w:val="TOC1"/>
        <w:tabs>
          <w:tab w:val="right" w:leader="dot" w:pos="8296"/>
        </w:tabs>
        <w:rPr>
          <w:rFonts w:asciiTheme="minorHAnsi" w:eastAsiaTheme="minorEastAsia" w:hAnsiTheme="minorHAnsi" w:cstheme="minorBidi"/>
          <w:noProof/>
          <w:sz w:val="22"/>
          <w:szCs w:val="22"/>
          <w:lang w:eastAsia="en-GB"/>
        </w:rPr>
      </w:pPr>
      <w:hyperlink w:anchor="_Toc417640765" w:history="1">
        <w:r w:rsidR="005D0531" w:rsidRPr="00692B67">
          <w:rPr>
            <w:rStyle w:val="Hyperlink"/>
            <w:noProof/>
          </w:rPr>
          <w:t>Part B: working under a HTA licence</w:t>
        </w:r>
        <w:r w:rsidR="005D0531">
          <w:rPr>
            <w:noProof/>
            <w:webHidden/>
          </w:rPr>
          <w:tab/>
        </w:r>
        <w:r w:rsidR="005D0531">
          <w:rPr>
            <w:noProof/>
            <w:webHidden/>
          </w:rPr>
          <w:fldChar w:fldCharType="begin"/>
        </w:r>
        <w:r w:rsidR="005D0531">
          <w:rPr>
            <w:noProof/>
            <w:webHidden/>
          </w:rPr>
          <w:instrText xml:space="preserve"> PAGEREF _Toc417640765 \h </w:instrText>
        </w:r>
        <w:r w:rsidR="005D0531">
          <w:rPr>
            <w:noProof/>
            <w:webHidden/>
          </w:rPr>
        </w:r>
        <w:r w:rsidR="005D0531">
          <w:rPr>
            <w:noProof/>
            <w:webHidden/>
          </w:rPr>
          <w:fldChar w:fldCharType="separate"/>
        </w:r>
        <w:r w:rsidR="00955CC4">
          <w:rPr>
            <w:noProof/>
            <w:webHidden/>
          </w:rPr>
          <w:t>7</w:t>
        </w:r>
        <w:r w:rsidR="005D0531">
          <w:rPr>
            <w:noProof/>
            <w:webHidden/>
          </w:rPr>
          <w:fldChar w:fldCharType="end"/>
        </w:r>
      </w:hyperlink>
    </w:p>
    <w:p w14:paraId="71D1E418" w14:textId="2B0DF8C4" w:rsidR="005D0531" w:rsidRDefault="00F17451" w:rsidP="00B85D31">
      <w:pPr>
        <w:pStyle w:val="TOC1"/>
        <w:tabs>
          <w:tab w:val="right" w:leader="dot" w:pos="8296"/>
        </w:tabs>
        <w:rPr>
          <w:rFonts w:asciiTheme="minorHAnsi" w:eastAsiaTheme="minorEastAsia" w:hAnsiTheme="minorHAnsi" w:cstheme="minorBidi"/>
          <w:noProof/>
          <w:sz w:val="22"/>
          <w:szCs w:val="22"/>
          <w:lang w:eastAsia="en-GB"/>
        </w:rPr>
      </w:pPr>
      <w:hyperlink w:anchor="_Toc417640766" w:history="1">
        <w:r w:rsidR="005D0531" w:rsidRPr="00692B67">
          <w:rPr>
            <w:rStyle w:val="Hyperlink"/>
            <w:noProof/>
          </w:rPr>
          <w:t>Part C: working under a HTA licensing exemption</w:t>
        </w:r>
        <w:r w:rsidR="005D0531">
          <w:rPr>
            <w:noProof/>
            <w:webHidden/>
          </w:rPr>
          <w:tab/>
        </w:r>
        <w:r w:rsidR="005D0531">
          <w:rPr>
            <w:noProof/>
            <w:webHidden/>
          </w:rPr>
          <w:fldChar w:fldCharType="begin"/>
        </w:r>
        <w:r w:rsidR="005D0531">
          <w:rPr>
            <w:noProof/>
            <w:webHidden/>
          </w:rPr>
          <w:instrText xml:space="preserve"> PAGEREF _Toc417640766 \h </w:instrText>
        </w:r>
        <w:r w:rsidR="005D0531">
          <w:rPr>
            <w:noProof/>
            <w:webHidden/>
          </w:rPr>
        </w:r>
        <w:r w:rsidR="005D0531">
          <w:rPr>
            <w:noProof/>
            <w:webHidden/>
          </w:rPr>
          <w:fldChar w:fldCharType="separate"/>
        </w:r>
        <w:r w:rsidR="00955CC4">
          <w:rPr>
            <w:noProof/>
            <w:webHidden/>
          </w:rPr>
          <w:t>18</w:t>
        </w:r>
        <w:r w:rsidR="005D0531">
          <w:rPr>
            <w:noProof/>
            <w:webHidden/>
          </w:rPr>
          <w:fldChar w:fldCharType="end"/>
        </w:r>
      </w:hyperlink>
    </w:p>
    <w:p w14:paraId="1C286FFF" w14:textId="2FEB0C62" w:rsidR="005D0531" w:rsidRDefault="00F17451" w:rsidP="00B85D31">
      <w:pPr>
        <w:pStyle w:val="TOC1"/>
        <w:tabs>
          <w:tab w:val="right" w:leader="dot" w:pos="8296"/>
        </w:tabs>
        <w:rPr>
          <w:rFonts w:asciiTheme="minorHAnsi" w:eastAsiaTheme="minorEastAsia" w:hAnsiTheme="minorHAnsi" w:cstheme="minorBidi"/>
          <w:noProof/>
          <w:sz w:val="22"/>
          <w:szCs w:val="22"/>
          <w:lang w:eastAsia="en-GB"/>
        </w:rPr>
      </w:pPr>
      <w:hyperlink w:anchor="_Toc417640767" w:history="1">
        <w:r w:rsidR="005D0531" w:rsidRPr="00692B67">
          <w:rPr>
            <w:rStyle w:val="Hyperlink"/>
            <w:noProof/>
          </w:rPr>
          <w:t>Part D: Further advice and guidance</w:t>
        </w:r>
        <w:r w:rsidR="005D0531">
          <w:rPr>
            <w:noProof/>
            <w:webHidden/>
          </w:rPr>
          <w:tab/>
        </w:r>
        <w:r w:rsidR="005D0531">
          <w:rPr>
            <w:noProof/>
            <w:webHidden/>
          </w:rPr>
          <w:fldChar w:fldCharType="begin"/>
        </w:r>
        <w:r w:rsidR="005D0531">
          <w:rPr>
            <w:noProof/>
            <w:webHidden/>
          </w:rPr>
          <w:instrText xml:space="preserve"> PAGEREF _Toc417640767 \h </w:instrText>
        </w:r>
        <w:r w:rsidR="005D0531">
          <w:rPr>
            <w:noProof/>
            <w:webHidden/>
          </w:rPr>
        </w:r>
        <w:r w:rsidR="005D0531">
          <w:rPr>
            <w:noProof/>
            <w:webHidden/>
          </w:rPr>
          <w:fldChar w:fldCharType="separate"/>
        </w:r>
        <w:r w:rsidR="00955CC4">
          <w:rPr>
            <w:noProof/>
            <w:webHidden/>
          </w:rPr>
          <w:t>23</w:t>
        </w:r>
        <w:r w:rsidR="005D0531">
          <w:rPr>
            <w:noProof/>
            <w:webHidden/>
          </w:rPr>
          <w:fldChar w:fldCharType="end"/>
        </w:r>
      </w:hyperlink>
    </w:p>
    <w:p w14:paraId="565D461A" w14:textId="055A84EB" w:rsidR="005D0531" w:rsidRDefault="00F17451" w:rsidP="00B85D31">
      <w:pPr>
        <w:pStyle w:val="TOC1"/>
        <w:tabs>
          <w:tab w:val="right" w:leader="dot" w:pos="8296"/>
        </w:tabs>
        <w:rPr>
          <w:rFonts w:asciiTheme="minorHAnsi" w:eastAsiaTheme="minorEastAsia" w:hAnsiTheme="minorHAnsi" w:cstheme="minorBidi"/>
          <w:noProof/>
          <w:sz w:val="22"/>
          <w:szCs w:val="22"/>
          <w:lang w:eastAsia="en-GB"/>
        </w:rPr>
      </w:pPr>
      <w:hyperlink w:anchor="_Toc417640768" w:history="1">
        <w:r w:rsidR="005D0531" w:rsidRPr="00692B67">
          <w:rPr>
            <w:rStyle w:val="Hyperlink"/>
            <w:noProof/>
          </w:rPr>
          <w:t>Annex A: Health and Safety guidance for working with Relevant Material</w:t>
        </w:r>
        <w:r w:rsidR="005D0531">
          <w:rPr>
            <w:noProof/>
            <w:webHidden/>
          </w:rPr>
          <w:tab/>
        </w:r>
        <w:r w:rsidR="005D0531">
          <w:rPr>
            <w:noProof/>
            <w:webHidden/>
          </w:rPr>
          <w:fldChar w:fldCharType="begin"/>
        </w:r>
        <w:r w:rsidR="005D0531">
          <w:rPr>
            <w:noProof/>
            <w:webHidden/>
          </w:rPr>
          <w:instrText xml:space="preserve"> PAGEREF _Toc417640768 \h </w:instrText>
        </w:r>
        <w:r w:rsidR="005D0531">
          <w:rPr>
            <w:noProof/>
            <w:webHidden/>
          </w:rPr>
        </w:r>
        <w:r w:rsidR="005D0531">
          <w:rPr>
            <w:noProof/>
            <w:webHidden/>
          </w:rPr>
          <w:fldChar w:fldCharType="separate"/>
        </w:r>
        <w:r w:rsidR="00955CC4">
          <w:rPr>
            <w:noProof/>
            <w:webHidden/>
          </w:rPr>
          <w:t>26</w:t>
        </w:r>
        <w:r w:rsidR="005D0531">
          <w:rPr>
            <w:noProof/>
            <w:webHidden/>
          </w:rPr>
          <w:fldChar w:fldCharType="end"/>
        </w:r>
      </w:hyperlink>
    </w:p>
    <w:p w14:paraId="535743B0" w14:textId="5544EFD6" w:rsidR="005D0531" w:rsidRDefault="00F17451" w:rsidP="00B85D31">
      <w:pPr>
        <w:pStyle w:val="TOC1"/>
        <w:tabs>
          <w:tab w:val="right" w:leader="dot" w:pos="8296"/>
        </w:tabs>
        <w:rPr>
          <w:rFonts w:asciiTheme="minorHAnsi" w:eastAsiaTheme="minorEastAsia" w:hAnsiTheme="minorHAnsi" w:cstheme="minorBidi"/>
          <w:noProof/>
          <w:sz w:val="22"/>
          <w:szCs w:val="22"/>
          <w:lang w:eastAsia="en-GB"/>
        </w:rPr>
      </w:pPr>
      <w:hyperlink w:anchor="_Toc417640769" w:history="1">
        <w:r w:rsidR="005D0531" w:rsidRPr="00692B67">
          <w:rPr>
            <w:rStyle w:val="Hyperlink"/>
            <w:noProof/>
          </w:rPr>
          <w:t>Annex B: Competency and training record</w:t>
        </w:r>
        <w:r w:rsidR="005D0531">
          <w:rPr>
            <w:noProof/>
            <w:webHidden/>
          </w:rPr>
          <w:tab/>
        </w:r>
        <w:r w:rsidR="005D0531">
          <w:rPr>
            <w:noProof/>
            <w:webHidden/>
          </w:rPr>
          <w:fldChar w:fldCharType="begin"/>
        </w:r>
        <w:r w:rsidR="005D0531">
          <w:rPr>
            <w:noProof/>
            <w:webHidden/>
          </w:rPr>
          <w:instrText xml:space="preserve"> PAGEREF _Toc417640769 \h </w:instrText>
        </w:r>
        <w:r w:rsidR="005D0531">
          <w:rPr>
            <w:noProof/>
            <w:webHidden/>
          </w:rPr>
        </w:r>
        <w:r w:rsidR="005D0531">
          <w:rPr>
            <w:noProof/>
            <w:webHidden/>
          </w:rPr>
          <w:fldChar w:fldCharType="separate"/>
        </w:r>
        <w:r w:rsidR="00955CC4">
          <w:rPr>
            <w:noProof/>
            <w:webHidden/>
          </w:rPr>
          <w:t>28</w:t>
        </w:r>
        <w:r w:rsidR="005D0531">
          <w:rPr>
            <w:noProof/>
            <w:webHidden/>
          </w:rPr>
          <w:fldChar w:fldCharType="end"/>
        </w:r>
      </w:hyperlink>
    </w:p>
    <w:p w14:paraId="246AAD80" w14:textId="6FFBD8EC" w:rsidR="00971771" w:rsidRDefault="005D0531">
      <w:r>
        <w:rPr>
          <w:rFonts w:ascii="Arial" w:hAnsi="Arial" w:cs="Arial"/>
          <w:b/>
        </w:rPr>
        <w:fldChar w:fldCharType="end"/>
      </w:r>
      <w:r w:rsidR="00971771">
        <w:t xml:space="preserve">_____________________________________________________________________ </w:t>
      </w:r>
    </w:p>
    <w:p w14:paraId="2B8ED2A8" w14:textId="77777777" w:rsidR="00971771" w:rsidRDefault="00971771"/>
    <w:p w14:paraId="213431A1" w14:textId="77777777" w:rsidR="00F20A17" w:rsidRDefault="00F20A17" w:rsidP="005D0531">
      <w:pPr>
        <w:pStyle w:val="Heading1"/>
        <w:numPr>
          <w:ilvl w:val="0"/>
          <w:numId w:val="0"/>
        </w:numPr>
        <w:jc w:val="left"/>
      </w:pPr>
      <w:bookmarkStart w:id="0" w:name="_Toc417640706"/>
      <w:bookmarkStart w:id="1" w:name="_Toc417640760"/>
      <w:r>
        <w:t>Introduction and aims of Code of Practice</w:t>
      </w:r>
      <w:bookmarkEnd w:id="0"/>
      <w:bookmarkEnd w:id="1"/>
    </w:p>
    <w:p w14:paraId="6A60A29C" w14:textId="77777777" w:rsidR="00F20A17" w:rsidRDefault="00F20A17">
      <w:pPr>
        <w:rPr>
          <w:rFonts w:ascii="Arial" w:hAnsi="Arial" w:cs="Arial"/>
          <w:b/>
        </w:rPr>
      </w:pPr>
    </w:p>
    <w:p w14:paraId="184B328F" w14:textId="69EDAEA8" w:rsidR="00F20A17" w:rsidRDefault="00F20A17">
      <w:pPr>
        <w:jc w:val="both"/>
        <w:rPr>
          <w:rFonts w:ascii="Arial" w:hAnsi="Arial" w:cs="Arial"/>
          <w:sz w:val="22"/>
          <w:szCs w:val="22"/>
        </w:rPr>
      </w:pPr>
      <w:r>
        <w:rPr>
          <w:rFonts w:ascii="Arial" w:hAnsi="Arial" w:cs="Arial"/>
          <w:sz w:val="22"/>
          <w:szCs w:val="22"/>
        </w:rPr>
        <w:t xml:space="preserve">This </w:t>
      </w:r>
      <w:r w:rsidR="00D27B42">
        <w:rPr>
          <w:rFonts w:ascii="Arial" w:hAnsi="Arial" w:cs="Arial"/>
          <w:sz w:val="22"/>
          <w:szCs w:val="22"/>
        </w:rPr>
        <w:t xml:space="preserve">University </w:t>
      </w:r>
      <w:r>
        <w:rPr>
          <w:rFonts w:ascii="Arial" w:hAnsi="Arial" w:cs="Arial"/>
          <w:sz w:val="22"/>
          <w:szCs w:val="22"/>
        </w:rPr>
        <w:t xml:space="preserve">Code </w:t>
      </w:r>
      <w:r w:rsidR="00D27B42">
        <w:rPr>
          <w:rFonts w:ascii="Arial" w:hAnsi="Arial" w:cs="Arial"/>
          <w:sz w:val="22"/>
          <w:szCs w:val="22"/>
        </w:rPr>
        <w:t xml:space="preserve">of Practice (the </w:t>
      </w:r>
      <w:r w:rsidR="00CB5A7D">
        <w:rPr>
          <w:rFonts w:ascii="Arial" w:hAnsi="Arial" w:cs="Arial"/>
          <w:sz w:val="22"/>
          <w:szCs w:val="22"/>
        </w:rPr>
        <w:t>“</w:t>
      </w:r>
      <w:r w:rsidR="00D27B42">
        <w:rPr>
          <w:rFonts w:ascii="Arial" w:hAnsi="Arial" w:cs="Arial"/>
          <w:sz w:val="22"/>
          <w:szCs w:val="22"/>
        </w:rPr>
        <w:t xml:space="preserve">Code”) </w:t>
      </w:r>
      <w:r>
        <w:rPr>
          <w:rFonts w:ascii="Arial" w:hAnsi="Arial" w:cs="Arial"/>
          <w:sz w:val="22"/>
          <w:szCs w:val="22"/>
        </w:rPr>
        <w:t xml:space="preserve">has been developed by the </w:t>
      </w:r>
      <w:r w:rsidR="005C3762">
        <w:rPr>
          <w:rFonts w:ascii="Arial" w:hAnsi="Arial" w:cs="Arial"/>
          <w:sz w:val="22"/>
          <w:szCs w:val="22"/>
        </w:rPr>
        <w:t>H</w:t>
      </w:r>
      <w:r w:rsidR="004D79F4">
        <w:rPr>
          <w:rFonts w:ascii="Arial" w:hAnsi="Arial" w:cs="Arial"/>
          <w:sz w:val="22"/>
          <w:szCs w:val="22"/>
        </w:rPr>
        <w:t>uman Tissue Working Group (</w:t>
      </w:r>
      <w:r w:rsidR="00EB3F09">
        <w:rPr>
          <w:rFonts w:ascii="Arial" w:hAnsi="Arial" w:cs="Arial"/>
          <w:sz w:val="22"/>
          <w:szCs w:val="22"/>
        </w:rPr>
        <w:t xml:space="preserve">the </w:t>
      </w:r>
      <w:r w:rsidR="00CB5A7D">
        <w:rPr>
          <w:rFonts w:ascii="Arial" w:hAnsi="Arial" w:cs="Arial"/>
          <w:sz w:val="22"/>
          <w:szCs w:val="22"/>
        </w:rPr>
        <w:t>“</w:t>
      </w:r>
      <w:r w:rsidR="004D79F4">
        <w:rPr>
          <w:rFonts w:ascii="Arial" w:hAnsi="Arial" w:cs="Arial"/>
          <w:sz w:val="22"/>
          <w:szCs w:val="22"/>
        </w:rPr>
        <w:t>H</w:t>
      </w:r>
      <w:r w:rsidR="005C3762">
        <w:rPr>
          <w:rFonts w:ascii="Arial" w:hAnsi="Arial" w:cs="Arial"/>
          <w:sz w:val="22"/>
          <w:szCs w:val="22"/>
        </w:rPr>
        <w:t>TWG</w:t>
      </w:r>
      <w:r w:rsidR="00EB3F09">
        <w:rPr>
          <w:rFonts w:ascii="Arial" w:hAnsi="Arial" w:cs="Arial"/>
          <w:sz w:val="22"/>
          <w:szCs w:val="22"/>
        </w:rPr>
        <w:t>”</w:t>
      </w:r>
      <w:r w:rsidR="004D79F4">
        <w:rPr>
          <w:rFonts w:ascii="Arial" w:hAnsi="Arial" w:cs="Arial"/>
          <w:sz w:val="22"/>
          <w:szCs w:val="22"/>
        </w:rPr>
        <w:t>)</w:t>
      </w:r>
      <w:r>
        <w:rPr>
          <w:rFonts w:ascii="Arial" w:hAnsi="Arial" w:cs="Arial"/>
          <w:sz w:val="22"/>
          <w:szCs w:val="22"/>
        </w:rPr>
        <w:t xml:space="preserve"> to ensure that the regulatory framework in respect of the Human Tissue Act </w:t>
      </w:r>
      <w:r w:rsidR="00EB3F09">
        <w:rPr>
          <w:rFonts w:ascii="Arial" w:hAnsi="Arial" w:cs="Arial"/>
          <w:sz w:val="22"/>
          <w:szCs w:val="22"/>
        </w:rPr>
        <w:t xml:space="preserve">2004 </w:t>
      </w:r>
      <w:r>
        <w:rPr>
          <w:rFonts w:ascii="Arial" w:hAnsi="Arial" w:cs="Arial"/>
          <w:sz w:val="22"/>
          <w:szCs w:val="22"/>
        </w:rPr>
        <w:t>(</w:t>
      </w:r>
      <w:r w:rsidR="00EB3F09">
        <w:rPr>
          <w:rFonts w:ascii="Arial" w:hAnsi="Arial" w:cs="Arial"/>
          <w:sz w:val="22"/>
          <w:szCs w:val="22"/>
        </w:rPr>
        <w:t xml:space="preserve">the </w:t>
      </w:r>
      <w:r w:rsidR="00304E3C">
        <w:rPr>
          <w:rFonts w:ascii="Arial" w:hAnsi="Arial" w:cs="Arial"/>
          <w:sz w:val="22"/>
          <w:szCs w:val="22"/>
        </w:rPr>
        <w:t>“</w:t>
      </w:r>
      <w:r>
        <w:rPr>
          <w:rFonts w:ascii="Arial" w:hAnsi="Arial" w:cs="Arial"/>
          <w:sz w:val="22"/>
          <w:szCs w:val="22"/>
        </w:rPr>
        <w:t>HT Act</w:t>
      </w:r>
      <w:r w:rsidR="00EB3F09">
        <w:rPr>
          <w:rFonts w:ascii="Arial" w:hAnsi="Arial" w:cs="Arial"/>
          <w:sz w:val="22"/>
          <w:szCs w:val="22"/>
        </w:rPr>
        <w:t>”</w:t>
      </w:r>
      <w:r>
        <w:rPr>
          <w:rFonts w:ascii="Arial" w:hAnsi="Arial" w:cs="Arial"/>
          <w:sz w:val="22"/>
          <w:szCs w:val="22"/>
        </w:rPr>
        <w:t>) and Human Tissue Authority</w:t>
      </w:r>
      <w:r w:rsidR="008E5450">
        <w:rPr>
          <w:rFonts w:ascii="Arial" w:hAnsi="Arial" w:cs="Arial"/>
          <w:sz w:val="22"/>
          <w:szCs w:val="22"/>
        </w:rPr>
        <w:t xml:space="preserve"> (HTA)</w:t>
      </w:r>
      <w:r>
        <w:rPr>
          <w:rFonts w:ascii="Arial" w:hAnsi="Arial" w:cs="Arial"/>
          <w:sz w:val="22"/>
          <w:szCs w:val="22"/>
        </w:rPr>
        <w:t xml:space="preserve"> Directions</w:t>
      </w:r>
      <w:r w:rsidR="00BE2D1E">
        <w:rPr>
          <w:rFonts w:ascii="Arial" w:hAnsi="Arial" w:cs="Arial"/>
          <w:sz w:val="22"/>
          <w:szCs w:val="22"/>
        </w:rPr>
        <w:t>, including the HTA Codes of Practice</w:t>
      </w:r>
      <w:r w:rsidR="00112A24">
        <w:rPr>
          <w:rFonts w:ascii="Arial" w:hAnsi="Arial" w:cs="Arial"/>
          <w:sz w:val="22"/>
          <w:szCs w:val="22"/>
        </w:rPr>
        <w:t xml:space="preserve"> and Guidance</w:t>
      </w:r>
      <w:r w:rsidR="00AF76AD">
        <w:rPr>
          <w:rFonts w:ascii="Arial" w:hAnsi="Arial" w:cs="Arial"/>
          <w:sz w:val="22"/>
          <w:szCs w:val="22"/>
        </w:rPr>
        <w:t xml:space="preserve"> (</w:t>
      </w:r>
      <w:r w:rsidR="00112A24">
        <w:rPr>
          <w:rFonts w:ascii="Arial" w:hAnsi="Arial" w:cs="Arial"/>
          <w:sz w:val="22"/>
          <w:szCs w:val="22"/>
        </w:rPr>
        <w:t>the “</w:t>
      </w:r>
      <w:r w:rsidR="00AF76AD">
        <w:rPr>
          <w:rFonts w:ascii="Arial" w:hAnsi="Arial" w:cs="Arial"/>
          <w:sz w:val="22"/>
          <w:szCs w:val="22"/>
        </w:rPr>
        <w:t>HTA Codes</w:t>
      </w:r>
      <w:r w:rsidR="00112A24">
        <w:rPr>
          <w:rFonts w:ascii="Arial" w:hAnsi="Arial" w:cs="Arial"/>
          <w:sz w:val="22"/>
          <w:szCs w:val="22"/>
        </w:rPr>
        <w:t>”</w:t>
      </w:r>
      <w:r w:rsidR="00AF76AD">
        <w:rPr>
          <w:rFonts w:ascii="Arial" w:hAnsi="Arial" w:cs="Arial"/>
          <w:sz w:val="22"/>
          <w:szCs w:val="22"/>
        </w:rPr>
        <w:t>)</w:t>
      </w:r>
      <w:r w:rsidR="00BE2D1E">
        <w:rPr>
          <w:rFonts w:ascii="Arial" w:hAnsi="Arial" w:cs="Arial"/>
          <w:sz w:val="22"/>
          <w:szCs w:val="22"/>
        </w:rPr>
        <w:t>,</w:t>
      </w:r>
      <w:r>
        <w:rPr>
          <w:rFonts w:ascii="Arial" w:hAnsi="Arial" w:cs="Arial"/>
          <w:sz w:val="22"/>
          <w:szCs w:val="22"/>
        </w:rPr>
        <w:t xml:space="preserve"> (together the</w:t>
      </w:r>
      <w:r w:rsidR="00AF76AD">
        <w:rPr>
          <w:rFonts w:ascii="Arial" w:hAnsi="Arial" w:cs="Arial"/>
          <w:sz w:val="22"/>
          <w:szCs w:val="22"/>
        </w:rPr>
        <w:t xml:space="preserve"> </w:t>
      </w:r>
      <w:r w:rsidR="008C3EF5">
        <w:rPr>
          <w:rFonts w:ascii="Arial" w:hAnsi="Arial" w:cs="Arial"/>
          <w:sz w:val="22"/>
          <w:szCs w:val="22"/>
        </w:rPr>
        <w:t>“</w:t>
      </w:r>
      <w:r w:rsidR="00AF76AD">
        <w:rPr>
          <w:rFonts w:ascii="Arial" w:hAnsi="Arial" w:cs="Arial"/>
          <w:sz w:val="22"/>
          <w:szCs w:val="22"/>
        </w:rPr>
        <w:t>Regulatory Framework</w:t>
      </w:r>
      <w:r>
        <w:rPr>
          <w:rFonts w:ascii="Arial" w:hAnsi="Arial" w:cs="Arial"/>
          <w:sz w:val="22"/>
          <w:szCs w:val="22"/>
        </w:rPr>
        <w:t>”)</w:t>
      </w:r>
      <w:r w:rsidR="00DD1F85">
        <w:rPr>
          <w:rFonts w:ascii="Arial" w:hAnsi="Arial" w:cs="Arial"/>
          <w:sz w:val="22"/>
          <w:szCs w:val="22"/>
        </w:rPr>
        <w:t xml:space="preserve"> are</w:t>
      </w:r>
      <w:r w:rsidR="00DD1F85">
        <w:rPr>
          <w:rStyle w:val="CommentReference"/>
        </w:rPr>
        <w:t xml:space="preserve"> </w:t>
      </w:r>
      <w:r w:rsidR="00DD1F85">
        <w:rPr>
          <w:rFonts w:ascii="Arial" w:hAnsi="Arial" w:cs="Arial"/>
          <w:sz w:val="22"/>
          <w:szCs w:val="22"/>
        </w:rPr>
        <w:t>successfully</w:t>
      </w:r>
      <w:r>
        <w:rPr>
          <w:rFonts w:ascii="Arial" w:hAnsi="Arial" w:cs="Arial"/>
          <w:sz w:val="22"/>
          <w:szCs w:val="22"/>
        </w:rPr>
        <w:t xml:space="preserve"> implemented into the University’s practices, </w:t>
      </w:r>
      <w:proofErr w:type="gramStart"/>
      <w:r>
        <w:rPr>
          <w:rFonts w:ascii="Arial" w:hAnsi="Arial" w:cs="Arial"/>
          <w:sz w:val="22"/>
          <w:szCs w:val="22"/>
        </w:rPr>
        <w:t>guidance</w:t>
      </w:r>
      <w:proofErr w:type="gramEnd"/>
      <w:r>
        <w:rPr>
          <w:rFonts w:ascii="Arial" w:hAnsi="Arial" w:cs="Arial"/>
          <w:sz w:val="22"/>
          <w:szCs w:val="22"/>
        </w:rPr>
        <w:t xml:space="preserve"> and policies.</w:t>
      </w:r>
    </w:p>
    <w:p w14:paraId="17DF6368" w14:textId="77777777" w:rsidR="00F20A17" w:rsidRDefault="00F20A17">
      <w:pPr>
        <w:jc w:val="both"/>
        <w:rPr>
          <w:rFonts w:ascii="Arial" w:hAnsi="Arial" w:cs="Arial"/>
          <w:sz w:val="22"/>
          <w:szCs w:val="22"/>
        </w:rPr>
      </w:pPr>
    </w:p>
    <w:p w14:paraId="15B54862" w14:textId="1ECD1061" w:rsidR="00A3090C" w:rsidRDefault="00F20A17" w:rsidP="00DC5DAB">
      <w:pPr>
        <w:autoSpaceDE w:val="0"/>
        <w:autoSpaceDN w:val="0"/>
        <w:adjustRightInd w:val="0"/>
        <w:jc w:val="both"/>
        <w:rPr>
          <w:rFonts w:ascii="Arial" w:hAnsi="Arial" w:cs="Arial"/>
          <w:sz w:val="22"/>
          <w:szCs w:val="22"/>
        </w:rPr>
      </w:pPr>
      <w:r>
        <w:rPr>
          <w:rFonts w:ascii="Arial" w:hAnsi="Arial" w:cs="Arial"/>
          <w:sz w:val="22"/>
          <w:szCs w:val="22"/>
        </w:rPr>
        <w:t>The Code provides a resource for anyone working for</w:t>
      </w:r>
      <w:r w:rsidR="008D226C">
        <w:rPr>
          <w:rFonts w:ascii="Arial" w:hAnsi="Arial" w:cs="Arial"/>
          <w:sz w:val="22"/>
          <w:szCs w:val="22"/>
        </w:rPr>
        <w:t>,</w:t>
      </w:r>
      <w:r>
        <w:rPr>
          <w:rFonts w:ascii="Arial" w:hAnsi="Arial" w:cs="Arial"/>
          <w:sz w:val="22"/>
          <w:szCs w:val="22"/>
        </w:rPr>
        <w:t xml:space="preserve"> </w:t>
      </w:r>
      <w:r w:rsidR="00E965FD">
        <w:rPr>
          <w:rFonts w:ascii="Arial" w:hAnsi="Arial" w:cs="Arial"/>
          <w:sz w:val="22"/>
          <w:szCs w:val="22"/>
        </w:rPr>
        <w:t>or studying at</w:t>
      </w:r>
      <w:r w:rsidR="008D226C">
        <w:rPr>
          <w:rFonts w:ascii="Arial" w:hAnsi="Arial" w:cs="Arial"/>
          <w:sz w:val="22"/>
          <w:szCs w:val="22"/>
        </w:rPr>
        <w:t>,</w:t>
      </w:r>
      <w:r w:rsidR="00E965FD">
        <w:rPr>
          <w:rFonts w:ascii="Arial" w:hAnsi="Arial" w:cs="Arial"/>
          <w:sz w:val="22"/>
          <w:szCs w:val="22"/>
        </w:rPr>
        <w:t xml:space="preserve"> </w:t>
      </w:r>
      <w:r>
        <w:rPr>
          <w:rFonts w:ascii="Arial" w:hAnsi="Arial" w:cs="Arial"/>
          <w:sz w:val="22"/>
          <w:szCs w:val="22"/>
        </w:rPr>
        <w:t xml:space="preserve">the University of Bristol with human organs, </w:t>
      </w:r>
      <w:proofErr w:type="gramStart"/>
      <w:r>
        <w:rPr>
          <w:rFonts w:ascii="Arial" w:hAnsi="Arial" w:cs="Arial"/>
          <w:sz w:val="22"/>
          <w:szCs w:val="22"/>
        </w:rPr>
        <w:t>tissue</w:t>
      </w:r>
      <w:proofErr w:type="gramEnd"/>
      <w:r>
        <w:rPr>
          <w:rFonts w:ascii="Arial" w:hAnsi="Arial" w:cs="Arial"/>
          <w:sz w:val="22"/>
          <w:szCs w:val="22"/>
        </w:rPr>
        <w:t xml:space="preserve"> and cells (together “Relevant Material”) in a</w:t>
      </w:r>
      <w:r w:rsidR="003F2382">
        <w:rPr>
          <w:rFonts w:ascii="Arial" w:hAnsi="Arial" w:cs="Arial"/>
          <w:sz w:val="22"/>
          <w:szCs w:val="22"/>
        </w:rPr>
        <w:t>n</w:t>
      </w:r>
      <w:r>
        <w:rPr>
          <w:rFonts w:ascii="Arial" w:hAnsi="Arial" w:cs="Arial"/>
          <w:sz w:val="22"/>
          <w:szCs w:val="22"/>
        </w:rPr>
        <w:t xml:space="preserve"> educational or research setting. </w:t>
      </w:r>
    </w:p>
    <w:p w14:paraId="1FD5FD0F" w14:textId="77777777" w:rsidR="00A3090C" w:rsidRDefault="00A3090C" w:rsidP="00A3090C">
      <w:pPr>
        <w:autoSpaceDE w:val="0"/>
        <w:autoSpaceDN w:val="0"/>
        <w:adjustRightInd w:val="0"/>
        <w:rPr>
          <w:rFonts w:ascii="Arial" w:hAnsi="Arial" w:cs="Arial"/>
          <w:sz w:val="22"/>
          <w:szCs w:val="22"/>
        </w:rPr>
      </w:pPr>
    </w:p>
    <w:p w14:paraId="6FF53CE2" w14:textId="448BED65" w:rsidR="00F20A17" w:rsidRPr="00B315F0" w:rsidRDefault="00A3090C" w:rsidP="00DC5DAB">
      <w:pPr>
        <w:autoSpaceDE w:val="0"/>
        <w:autoSpaceDN w:val="0"/>
        <w:adjustRightInd w:val="0"/>
        <w:jc w:val="both"/>
        <w:rPr>
          <w:rFonts w:ascii="Arial" w:hAnsi="Arial" w:cs="Arial"/>
          <w:sz w:val="22"/>
          <w:szCs w:val="22"/>
        </w:rPr>
      </w:pPr>
      <w:r>
        <w:rPr>
          <w:rFonts w:ascii="Arial" w:hAnsi="Arial" w:cs="Arial"/>
          <w:sz w:val="22"/>
          <w:szCs w:val="22"/>
        </w:rPr>
        <w:t xml:space="preserve">It also provides guidance about using DNA </w:t>
      </w:r>
      <w:r w:rsidRPr="00B315F0">
        <w:rPr>
          <w:rFonts w:ascii="Arial" w:hAnsi="Arial" w:cs="Arial"/>
          <w:sz w:val="22"/>
          <w:szCs w:val="22"/>
        </w:rPr>
        <w:t xml:space="preserve">from </w:t>
      </w:r>
      <w:r w:rsidRPr="0046413F">
        <w:rPr>
          <w:rFonts w:ascii="Arial" w:hAnsi="Arial" w:cs="Arial"/>
          <w:sz w:val="22"/>
          <w:szCs w:val="22"/>
          <w:lang w:eastAsia="en-GB"/>
        </w:rPr>
        <w:t xml:space="preserve">Bodily </w:t>
      </w:r>
      <w:r w:rsidR="00112A24">
        <w:rPr>
          <w:rFonts w:ascii="Arial" w:hAnsi="Arial" w:cs="Arial"/>
          <w:sz w:val="22"/>
          <w:szCs w:val="22"/>
          <w:lang w:eastAsia="en-GB"/>
        </w:rPr>
        <w:t>M</w:t>
      </w:r>
      <w:r w:rsidRPr="0046413F">
        <w:rPr>
          <w:rFonts w:ascii="Arial" w:hAnsi="Arial" w:cs="Arial"/>
          <w:sz w:val="22"/>
          <w:szCs w:val="22"/>
          <w:lang w:eastAsia="en-GB"/>
        </w:rPr>
        <w:t xml:space="preserve">aterial </w:t>
      </w:r>
      <w:r w:rsidR="00A10EE7">
        <w:rPr>
          <w:rFonts w:ascii="Arial" w:hAnsi="Arial" w:cs="Arial"/>
          <w:sz w:val="22"/>
          <w:szCs w:val="22"/>
          <w:lang w:eastAsia="en-GB"/>
        </w:rPr>
        <w:t xml:space="preserve">(“Bodily Material”) </w:t>
      </w:r>
      <w:proofErr w:type="gramStart"/>
      <w:r w:rsidRPr="0046413F">
        <w:rPr>
          <w:rFonts w:ascii="Arial" w:hAnsi="Arial" w:cs="Arial"/>
          <w:sz w:val="22"/>
          <w:szCs w:val="22"/>
          <w:lang w:eastAsia="en-GB"/>
        </w:rPr>
        <w:t>i.e.</w:t>
      </w:r>
      <w:proofErr w:type="gramEnd"/>
      <w:r w:rsidRPr="0046413F">
        <w:rPr>
          <w:rFonts w:ascii="Arial" w:hAnsi="Arial" w:cs="Arial"/>
          <w:sz w:val="22"/>
          <w:szCs w:val="22"/>
          <w:lang w:eastAsia="en-GB"/>
        </w:rPr>
        <w:t xml:space="preserve"> material which has come from a human body and consists of or includes human cells. </w:t>
      </w:r>
      <w:r w:rsidR="00D5107A">
        <w:rPr>
          <w:rFonts w:ascii="Arial" w:hAnsi="Arial" w:cs="Arial"/>
          <w:sz w:val="22"/>
          <w:szCs w:val="22"/>
          <w:lang w:eastAsia="en-GB"/>
        </w:rPr>
        <w:t>Bodily Material</w:t>
      </w:r>
      <w:r w:rsidR="00D5107A" w:rsidRPr="0046413F">
        <w:rPr>
          <w:rFonts w:ascii="Arial" w:hAnsi="Arial" w:cs="Arial"/>
          <w:sz w:val="22"/>
          <w:szCs w:val="22"/>
          <w:lang w:eastAsia="en-GB"/>
        </w:rPr>
        <w:t xml:space="preserve"> </w:t>
      </w:r>
      <w:r w:rsidRPr="0046413F">
        <w:rPr>
          <w:rFonts w:ascii="Arial" w:hAnsi="Arial" w:cs="Arial"/>
          <w:sz w:val="22"/>
          <w:szCs w:val="22"/>
          <w:lang w:eastAsia="en-GB"/>
        </w:rPr>
        <w:t>is a broader definition than 'Relevant Material', as it includes hair and nails from the living as well as from the deceased and gametes (human sperm and eggs).</w:t>
      </w:r>
    </w:p>
    <w:p w14:paraId="2E2D9B78" w14:textId="77777777" w:rsidR="00971771" w:rsidRDefault="00971771" w:rsidP="00971771">
      <w:pPr>
        <w:jc w:val="both"/>
      </w:pPr>
    </w:p>
    <w:p w14:paraId="26B21DB1" w14:textId="77777777" w:rsidR="003F2382" w:rsidRDefault="003F2382" w:rsidP="003F2382">
      <w:pPr>
        <w:jc w:val="both"/>
        <w:rPr>
          <w:rFonts w:ascii="Arial" w:hAnsi="Arial" w:cs="Arial"/>
          <w:sz w:val="22"/>
          <w:szCs w:val="22"/>
        </w:rPr>
      </w:pPr>
      <w:r>
        <w:rPr>
          <w:rFonts w:ascii="Arial" w:hAnsi="Arial" w:cs="Arial"/>
          <w:sz w:val="22"/>
          <w:szCs w:val="22"/>
        </w:rPr>
        <w:t xml:space="preserve">It is important for the University to maintain its HTA licences. If staff or students knowingly breach the </w:t>
      </w:r>
      <w:r w:rsidR="00AF76AD">
        <w:rPr>
          <w:rFonts w:ascii="Arial" w:hAnsi="Arial" w:cs="Arial"/>
          <w:sz w:val="22"/>
          <w:szCs w:val="22"/>
        </w:rPr>
        <w:t>Regulatory Framework</w:t>
      </w:r>
      <w:r>
        <w:rPr>
          <w:rFonts w:ascii="Arial" w:hAnsi="Arial" w:cs="Arial"/>
          <w:sz w:val="22"/>
          <w:szCs w:val="22"/>
        </w:rPr>
        <w:t xml:space="preserve">, or the mandatory provisions of this Code, the University’s research and teaching roles may be jeopardized and the University could suffer reputational damage. </w:t>
      </w:r>
    </w:p>
    <w:p w14:paraId="1A29D3A3" w14:textId="77777777" w:rsidR="00675C6C" w:rsidRDefault="00675C6C" w:rsidP="003F2382">
      <w:pPr>
        <w:jc w:val="both"/>
        <w:rPr>
          <w:rFonts w:ascii="Arial" w:hAnsi="Arial" w:cs="Arial"/>
          <w:sz w:val="22"/>
          <w:szCs w:val="22"/>
        </w:rPr>
      </w:pPr>
    </w:p>
    <w:p w14:paraId="51A8E0DE" w14:textId="0ED56CA2" w:rsidR="00DB2886" w:rsidRDefault="00DB2886" w:rsidP="00DB2886">
      <w:pPr>
        <w:pStyle w:val="BodyText"/>
        <w:jc w:val="both"/>
      </w:pPr>
      <w:r>
        <w:t xml:space="preserve">Staff and students are reminded that failure to observe the HT Act or this Code may amount to misconduct or gross misconduct and could result in disciplinary action being taken. Failure to comply with the HT Act can lead to criminal penalties and fines for </w:t>
      </w:r>
      <w:r w:rsidR="005A5036">
        <w:t xml:space="preserve">the individuals </w:t>
      </w:r>
      <w:r w:rsidR="00675C6C">
        <w:t>concerned,</w:t>
      </w:r>
      <w:r>
        <w:t xml:space="preserve"> the relevant </w:t>
      </w:r>
      <w:r w:rsidR="00FF24DC">
        <w:t>Designated Individual (</w:t>
      </w:r>
      <w:r>
        <w:t>DI</w:t>
      </w:r>
      <w:r w:rsidR="00FF24DC">
        <w:t>)</w:t>
      </w:r>
      <w:r>
        <w:t xml:space="preserve"> responsible for the premises in which the activity takes place, and the University. </w:t>
      </w:r>
    </w:p>
    <w:p w14:paraId="56C77785" w14:textId="77777777" w:rsidR="001B0E03" w:rsidRDefault="001B0E03" w:rsidP="001B0E03">
      <w:pPr>
        <w:jc w:val="both"/>
        <w:rPr>
          <w:rFonts w:ascii="Arial" w:hAnsi="Arial" w:cs="Arial"/>
          <w:sz w:val="22"/>
          <w:szCs w:val="22"/>
        </w:rPr>
      </w:pPr>
    </w:p>
    <w:p w14:paraId="3D40FF1C" w14:textId="3BFA2CDC" w:rsidR="001B0E03" w:rsidRDefault="003F2382" w:rsidP="001B0E03">
      <w:pPr>
        <w:jc w:val="both"/>
        <w:rPr>
          <w:rFonts w:ascii="Arial" w:hAnsi="Arial" w:cs="Arial"/>
          <w:sz w:val="22"/>
          <w:szCs w:val="22"/>
        </w:rPr>
      </w:pPr>
      <w:r>
        <w:rPr>
          <w:rFonts w:ascii="Arial" w:hAnsi="Arial" w:cs="Arial"/>
          <w:sz w:val="22"/>
        </w:rPr>
        <w:lastRenderedPageBreak/>
        <w:t xml:space="preserve">All those to whom this Code applies should report any known or suspected </w:t>
      </w:r>
      <w:r w:rsidR="008C3EF5">
        <w:rPr>
          <w:rFonts w:ascii="Arial" w:hAnsi="Arial" w:cs="Arial"/>
          <w:sz w:val="22"/>
        </w:rPr>
        <w:t xml:space="preserve">breaches of this Code and </w:t>
      </w:r>
      <w:r>
        <w:rPr>
          <w:rFonts w:ascii="Arial" w:hAnsi="Arial" w:cs="Arial"/>
          <w:sz w:val="22"/>
        </w:rPr>
        <w:t xml:space="preserve">relevant misconduct. Members of staff and students are encouraged to raise concerns about </w:t>
      </w:r>
      <w:r w:rsidR="008C3EF5">
        <w:rPr>
          <w:rFonts w:ascii="Arial" w:hAnsi="Arial" w:cs="Arial"/>
          <w:sz w:val="22"/>
        </w:rPr>
        <w:t xml:space="preserve">potential breaches of the Code and/or </w:t>
      </w:r>
      <w:r>
        <w:rPr>
          <w:rFonts w:ascii="Arial" w:hAnsi="Arial" w:cs="Arial"/>
          <w:sz w:val="22"/>
        </w:rPr>
        <w:t xml:space="preserve">suspected relevant misconduct </w:t>
      </w:r>
      <w:r w:rsidR="008C3EF5">
        <w:rPr>
          <w:rFonts w:ascii="Arial" w:hAnsi="Arial" w:cs="Arial"/>
          <w:sz w:val="22"/>
        </w:rPr>
        <w:t xml:space="preserve">in the first instance with either their Line Manager (where applicable), the relevant DI or the </w:t>
      </w:r>
      <w:r w:rsidR="00476E68">
        <w:rPr>
          <w:rFonts w:ascii="Arial" w:hAnsi="Arial" w:cs="Arial"/>
          <w:sz w:val="22"/>
        </w:rPr>
        <w:t xml:space="preserve">Head of </w:t>
      </w:r>
      <w:r w:rsidR="008C3EF5">
        <w:rPr>
          <w:rFonts w:ascii="Arial" w:hAnsi="Arial" w:cs="Arial"/>
          <w:sz w:val="22"/>
        </w:rPr>
        <w:t xml:space="preserve">Research </w:t>
      </w:r>
      <w:r w:rsidR="008C3EF5" w:rsidRPr="006F7AE4">
        <w:rPr>
          <w:rFonts w:ascii="Arial" w:hAnsi="Arial" w:cs="Arial"/>
          <w:sz w:val="22"/>
        </w:rPr>
        <w:t xml:space="preserve">Governance </w:t>
      </w:r>
      <w:r w:rsidR="00E81B70" w:rsidRPr="006F7AE4">
        <w:rPr>
          <w:rFonts w:ascii="Arial" w:hAnsi="Arial" w:cs="Arial"/>
          <w:sz w:val="22"/>
        </w:rPr>
        <w:t xml:space="preserve">or </w:t>
      </w:r>
      <w:r w:rsidR="008C3EF5" w:rsidRPr="006F7AE4">
        <w:rPr>
          <w:rFonts w:ascii="Arial" w:hAnsi="Arial" w:cs="Arial"/>
          <w:sz w:val="22"/>
        </w:rPr>
        <w:t>alternatively</w:t>
      </w:r>
      <w:r w:rsidR="008C3EF5">
        <w:rPr>
          <w:rFonts w:ascii="Arial" w:hAnsi="Arial" w:cs="Arial"/>
          <w:sz w:val="22"/>
        </w:rPr>
        <w:t xml:space="preserve"> </w:t>
      </w:r>
      <w:r>
        <w:rPr>
          <w:rFonts w:ascii="Arial" w:hAnsi="Arial" w:cs="Arial"/>
          <w:sz w:val="22"/>
        </w:rPr>
        <w:t xml:space="preserve">in confidence under the Policy on Public Interest Disclosure. </w:t>
      </w:r>
      <w:r w:rsidR="001B0E03">
        <w:rPr>
          <w:rFonts w:ascii="Arial" w:hAnsi="Arial" w:cs="Arial"/>
          <w:sz w:val="22"/>
        </w:rPr>
        <w:t>The University has a responsibility</w:t>
      </w:r>
      <w:r w:rsidR="001B0E03">
        <w:rPr>
          <w:sz w:val="22"/>
        </w:rPr>
        <w:t xml:space="preserve"> </w:t>
      </w:r>
      <w:r w:rsidR="001B0E03">
        <w:rPr>
          <w:rFonts w:ascii="Arial" w:hAnsi="Arial" w:cs="Arial"/>
          <w:sz w:val="22"/>
        </w:rPr>
        <w:t xml:space="preserve">to investigate allegations of misconduct. It also has a responsibility to protect staff and students from malicious, </w:t>
      </w:r>
      <w:proofErr w:type="gramStart"/>
      <w:r w:rsidR="001B0E03">
        <w:rPr>
          <w:rFonts w:ascii="Arial" w:hAnsi="Arial" w:cs="Arial"/>
          <w:sz w:val="22"/>
        </w:rPr>
        <w:t>mischievous</w:t>
      </w:r>
      <w:proofErr w:type="gramEnd"/>
      <w:r w:rsidR="001B0E03">
        <w:rPr>
          <w:rFonts w:ascii="Arial" w:hAnsi="Arial" w:cs="Arial"/>
          <w:sz w:val="22"/>
        </w:rPr>
        <w:t xml:space="preserve"> or frivolous allegations.</w:t>
      </w:r>
    </w:p>
    <w:p w14:paraId="0187AE31" w14:textId="77777777" w:rsidR="001B0E03" w:rsidRDefault="001B0E03" w:rsidP="001B0E03">
      <w:pPr>
        <w:jc w:val="both"/>
        <w:rPr>
          <w:rFonts w:ascii="Arial" w:hAnsi="Arial" w:cs="Arial"/>
          <w:sz w:val="22"/>
          <w:szCs w:val="22"/>
        </w:rPr>
      </w:pPr>
    </w:p>
    <w:p w14:paraId="4D32392F" w14:textId="36789E91" w:rsidR="001B0E03" w:rsidRDefault="001B0E03" w:rsidP="001B0E03">
      <w:pPr>
        <w:jc w:val="both"/>
        <w:rPr>
          <w:rFonts w:ascii="Arial" w:hAnsi="Arial" w:cs="Arial"/>
          <w:sz w:val="22"/>
          <w:szCs w:val="22"/>
        </w:rPr>
      </w:pPr>
      <w:r>
        <w:rPr>
          <w:rFonts w:ascii="Arial" w:hAnsi="Arial" w:cs="Arial"/>
          <w:sz w:val="22"/>
          <w:szCs w:val="22"/>
        </w:rPr>
        <w:t>Further information can be obtained from the ‘</w:t>
      </w:r>
      <w:hyperlink r:id="rId11" w:history="1">
        <w:r w:rsidRPr="004A2E8E">
          <w:rPr>
            <w:rStyle w:val="Hyperlink"/>
            <w:rFonts w:ascii="Arial" w:hAnsi="Arial" w:cs="Arial"/>
            <w:sz w:val="22"/>
            <w:szCs w:val="22"/>
          </w:rPr>
          <w:t>Regulations on Research Misconduct</w:t>
        </w:r>
      </w:hyperlink>
      <w:r>
        <w:rPr>
          <w:rFonts w:ascii="Arial" w:hAnsi="Arial" w:cs="Arial"/>
          <w:sz w:val="22"/>
          <w:szCs w:val="22"/>
        </w:rPr>
        <w:t>’</w:t>
      </w:r>
    </w:p>
    <w:p w14:paraId="1DBF97E5" w14:textId="24757C3F" w:rsidR="00DB2886" w:rsidRPr="0053439C" w:rsidRDefault="00DB2886">
      <w:pPr>
        <w:rPr>
          <w:rFonts w:ascii="Arial" w:hAnsi="Arial" w:cs="Arial"/>
          <w:sz w:val="22"/>
          <w:szCs w:val="22"/>
        </w:rPr>
      </w:pPr>
    </w:p>
    <w:p w14:paraId="5A32F04D" w14:textId="77777777" w:rsidR="00327E48" w:rsidRDefault="00327E48" w:rsidP="005D0531">
      <w:pPr>
        <w:pStyle w:val="Heading1"/>
        <w:numPr>
          <w:ilvl w:val="0"/>
          <w:numId w:val="0"/>
        </w:numPr>
        <w:jc w:val="left"/>
      </w:pPr>
      <w:bookmarkStart w:id="2" w:name="_Toc417640707"/>
      <w:bookmarkStart w:id="3" w:name="_Toc417640761"/>
    </w:p>
    <w:p w14:paraId="077F1D70" w14:textId="77777777" w:rsidR="008E1D83" w:rsidRDefault="008E1D83">
      <w:pPr>
        <w:rPr>
          <w:rFonts w:ascii="Arial" w:hAnsi="Arial" w:cs="Arial"/>
          <w:b/>
          <w:bCs/>
        </w:rPr>
      </w:pPr>
      <w:r>
        <w:br w:type="page"/>
      </w:r>
    </w:p>
    <w:p w14:paraId="6F399814" w14:textId="590DF50F" w:rsidR="00F20A17" w:rsidRDefault="00F20A17" w:rsidP="005D0531">
      <w:pPr>
        <w:pStyle w:val="Heading1"/>
        <w:numPr>
          <w:ilvl w:val="0"/>
          <w:numId w:val="0"/>
        </w:numPr>
        <w:jc w:val="left"/>
        <w:rPr>
          <w:b w:val="0"/>
        </w:rPr>
      </w:pPr>
      <w:r>
        <w:lastRenderedPageBreak/>
        <w:t xml:space="preserve">Part A: Regulatory framework, </w:t>
      </w:r>
      <w:proofErr w:type="gramStart"/>
      <w:r>
        <w:t>Licences</w:t>
      </w:r>
      <w:proofErr w:type="gramEnd"/>
      <w:r>
        <w:t xml:space="preserve"> and the Designated Individual</w:t>
      </w:r>
      <w:bookmarkEnd w:id="2"/>
      <w:bookmarkEnd w:id="3"/>
    </w:p>
    <w:p w14:paraId="0F8C3CDE" w14:textId="77777777" w:rsidR="005D0531" w:rsidRDefault="005D0531" w:rsidP="005D0531">
      <w:pPr>
        <w:pStyle w:val="Heading1"/>
        <w:numPr>
          <w:ilvl w:val="0"/>
          <w:numId w:val="0"/>
        </w:numPr>
        <w:jc w:val="left"/>
        <w:rPr>
          <w:bCs w:val="0"/>
        </w:rPr>
      </w:pPr>
    </w:p>
    <w:p w14:paraId="1207BF08" w14:textId="77777777" w:rsidR="00F20A17" w:rsidRDefault="00F20A17" w:rsidP="005D0531">
      <w:pPr>
        <w:pStyle w:val="Heading1"/>
        <w:numPr>
          <w:ilvl w:val="0"/>
          <w:numId w:val="41"/>
        </w:numPr>
        <w:jc w:val="left"/>
        <w:rPr>
          <w:bCs w:val="0"/>
        </w:rPr>
      </w:pPr>
      <w:bookmarkStart w:id="4" w:name="_Toc417640708"/>
      <w:bookmarkStart w:id="5" w:name="_Toc417640762"/>
      <w:r>
        <w:rPr>
          <w:bCs w:val="0"/>
        </w:rPr>
        <w:t>Regulatory framework</w:t>
      </w:r>
      <w:bookmarkEnd w:id="4"/>
      <w:bookmarkEnd w:id="5"/>
    </w:p>
    <w:p w14:paraId="4E385A17" w14:textId="77777777" w:rsidR="00F20A17" w:rsidRDefault="000F3CE1" w:rsidP="000F3CE1">
      <w:pPr>
        <w:tabs>
          <w:tab w:val="left" w:pos="6463"/>
        </w:tabs>
        <w:rPr>
          <w:rFonts w:ascii="Arial" w:hAnsi="Arial" w:cs="Arial"/>
        </w:rPr>
      </w:pPr>
      <w:r>
        <w:rPr>
          <w:rFonts w:ascii="Arial" w:hAnsi="Arial" w:cs="Arial"/>
        </w:rPr>
        <w:tab/>
      </w:r>
    </w:p>
    <w:p w14:paraId="62E5096F" w14:textId="77777777" w:rsidR="00F20A17" w:rsidRDefault="00F20A17">
      <w:pPr>
        <w:numPr>
          <w:ilvl w:val="1"/>
          <w:numId w:val="1"/>
        </w:numPr>
        <w:rPr>
          <w:rFonts w:ascii="Arial" w:hAnsi="Arial" w:cs="Arial"/>
          <w:b/>
        </w:rPr>
      </w:pPr>
      <w:r>
        <w:rPr>
          <w:rFonts w:ascii="Arial" w:hAnsi="Arial" w:cs="Arial"/>
          <w:b/>
        </w:rPr>
        <w:t>Human Tissue Act 2004</w:t>
      </w:r>
    </w:p>
    <w:p w14:paraId="07A7C271" w14:textId="77777777" w:rsidR="00F20A17" w:rsidRDefault="00F20A17">
      <w:pPr>
        <w:rPr>
          <w:rFonts w:ascii="Arial" w:hAnsi="Arial" w:cs="Arial"/>
        </w:rPr>
      </w:pPr>
    </w:p>
    <w:p w14:paraId="5E87180B" w14:textId="0C2253AD" w:rsidR="008D226C" w:rsidRDefault="00F20A17">
      <w:pPr>
        <w:jc w:val="both"/>
        <w:rPr>
          <w:rFonts w:ascii="Arial" w:hAnsi="Arial" w:cs="Arial"/>
          <w:sz w:val="22"/>
          <w:szCs w:val="22"/>
        </w:rPr>
      </w:pPr>
      <w:r>
        <w:rPr>
          <w:rFonts w:ascii="Arial" w:hAnsi="Arial" w:cs="Arial"/>
          <w:sz w:val="22"/>
          <w:szCs w:val="22"/>
        </w:rPr>
        <w:t xml:space="preserve">The HT Act provides a framework for regulating the storage and use of Relevant Material from the living, and the removal, </w:t>
      </w:r>
      <w:proofErr w:type="gramStart"/>
      <w:r>
        <w:rPr>
          <w:rFonts w:ascii="Arial" w:hAnsi="Arial" w:cs="Arial"/>
          <w:sz w:val="22"/>
          <w:szCs w:val="22"/>
        </w:rPr>
        <w:t>storage</w:t>
      </w:r>
      <w:proofErr w:type="gramEnd"/>
      <w:r>
        <w:rPr>
          <w:rFonts w:ascii="Arial" w:hAnsi="Arial" w:cs="Arial"/>
          <w:sz w:val="22"/>
          <w:szCs w:val="22"/>
        </w:rPr>
        <w:t xml:space="preserve"> and use of Relevant Material from the deceased for Scheduled Purposes. The HT Act makes consent the fundamental principle underpinning the lawful retention and use of Relevant Material from the living or the deceased for Scheduled Purposes.</w:t>
      </w:r>
      <w:r w:rsidR="00A83571">
        <w:rPr>
          <w:rFonts w:ascii="Arial" w:hAnsi="Arial" w:cs="Arial"/>
          <w:sz w:val="22"/>
          <w:szCs w:val="22"/>
        </w:rPr>
        <w:t xml:space="preserve"> </w:t>
      </w:r>
      <w:r w:rsidR="00A83571" w:rsidRPr="00711E6E">
        <w:rPr>
          <w:rFonts w:ascii="Arial" w:hAnsi="Arial" w:cs="Arial"/>
          <w:sz w:val="22"/>
          <w:szCs w:val="22"/>
        </w:rPr>
        <w:t xml:space="preserve">Under the provision of the HT Act consent must be obtained to remove, store or use bodies or </w:t>
      </w:r>
      <w:r w:rsidR="00CD3719">
        <w:rPr>
          <w:rFonts w:ascii="Arial" w:hAnsi="Arial" w:cs="Arial"/>
          <w:sz w:val="22"/>
          <w:szCs w:val="22"/>
        </w:rPr>
        <w:t>R</w:t>
      </w:r>
      <w:r w:rsidR="00A83571" w:rsidRPr="00711E6E">
        <w:rPr>
          <w:rFonts w:ascii="Arial" w:hAnsi="Arial" w:cs="Arial"/>
          <w:sz w:val="22"/>
          <w:szCs w:val="22"/>
        </w:rPr>
        <w:t xml:space="preserve">elevant </w:t>
      </w:r>
      <w:r w:rsidR="00CD3719">
        <w:rPr>
          <w:rFonts w:ascii="Arial" w:hAnsi="Arial" w:cs="Arial"/>
          <w:sz w:val="22"/>
          <w:szCs w:val="22"/>
        </w:rPr>
        <w:t>M</w:t>
      </w:r>
      <w:r w:rsidR="00CD3719" w:rsidRPr="00711E6E">
        <w:rPr>
          <w:rFonts w:ascii="Arial" w:hAnsi="Arial" w:cs="Arial"/>
          <w:sz w:val="22"/>
          <w:szCs w:val="22"/>
        </w:rPr>
        <w:t xml:space="preserve">aterial </w:t>
      </w:r>
      <w:r w:rsidR="00A83571" w:rsidRPr="00711E6E">
        <w:rPr>
          <w:rFonts w:ascii="Arial" w:hAnsi="Arial" w:cs="Arial"/>
          <w:sz w:val="22"/>
          <w:szCs w:val="22"/>
        </w:rPr>
        <w:t>for Scheduled Purposes</w:t>
      </w:r>
      <w:r w:rsidR="008D226C">
        <w:rPr>
          <w:rFonts w:ascii="Arial" w:hAnsi="Arial" w:cs="Arial"/>
          <w:sz w:val="22"/>
          <w:szCs w:val="22"/>
        </w:rPr>
        <w:t xml:space="preserve">: </w:t>
      </w:r>
      <w:hyperlink r:id="rId12" w:history="1">
        <w:r w:rsidR="008D226C" w:rsidRPr="008D226C">
          <w:rPr>
            <w:rStyle w:val="Hyperlink"/>
            <w:rFonts w:ascii="Arial" w:hAnsi="Arial" w:cs="Arial"/>
            <w:sz w:val="22"/>
            <w:szCs w:val="22"/>
          </w:rPr>
          <w:t>Human Tissue Act 2004</w:t>
        </w:r>
      </w:hyperlink>
      <w:r w:rsidR="008D226C">
        <w:rPr>
          <w:rFonts w:ascii="Arial" w:hAnsi="Arial" w:cs="Arial"/>
          <w:sz w:val="22"/>
          <w:szCs w:val="22"/>
        </w:rPr>
        <w:t>.</w:t>
      </w:r>
      <w:r w:rsidR="00D42745">
        <w:rPr>
          <w:rFonts w:ascii="Arial" w:hAnsi="Arial" w:cs="Arial"/>
          <w:sz w:val="22"/>
          <w:szCs w:val="22"/>
        </w:rPr>
        <w:t xml:space="preserve"> </w:t>
      </w:r>
    </w:p>
    <w:p w14:paraId="752A40FD" w14:textId="77777777" w:rsidR="00F20A17" w:rsidRDefault="00F20A17">
      <w:pPr>
        <w:rPr>
          <w:rFonts w:ascii="Arial" w:hAnsi="Arial" w:cs="Arial"/>
          <w:b/>
        </w:rPr>
      </w:pPr>
    </w:p>
    <w:p w14:paraId="710C24DD" w14:textId="77777777" w:rsidR="00DD1F85" w:rsidRPr="00FE7C68" w:rsidRDefault="00DD1F85" w:rsidP="00D42745">
      <w:pPr>
        <w:pStyle w:val="ListParagraph"/>
        <w:numPr>
          <w:ilvl w:val="1"/>
          <w:numId w:val="1"/>
        </w:numPr>
        <w:rPr>
          <w:rFonts w:cs="Arial"/>
          <w:b/>
        </w:rPr>
      </w:pPr>
      <w:r>
        <w:rPr>
          <w:rFonts w:cs="Arial"/>
          <w:b/>
        </w:rPr>
        <w:t>Definition of Relevant Material</w:t>
      </w:r>
    </w:p>
    <w:p w14:paraId="79EF3555" w14:textId="77777777" w:rsidR="00DD1F85" w:rsidRDefault="00DD1F85" w:rsidP="00DD1F85">
      <w:pPr>
        <w:jc w:val="both"/>
        <w:rPr>
          <w:rFonts w:ascii="Arial" w:hAnsi="Arial" w:cs="Arial"/>
          <w:sz w:val="22"/>
          <w:szCs w:val="22"/>
        </w:rPr>
      </w:pPr>
      <w:r>
        <w:rPr>
          <w:rFonts w:ascii="Arial" w:hAnsi="Arial" w:cs="Arial"/>
          <w:sz w:val="22"/>
          <w:szCs w:val="22"/>
        </w:rPr>
        <w:t>The definition of R</w:t>
      </w:r>
      <w:r w:rsidRPr="00B02516">
        <w:rPr>
          <w:rFonts w:ascii="Arial" w:hAnsi="Arial" w:cs="Arial"/>
          <w:sz w:val="22"/>
          <w:szCs w:val="22"/>
        </w:rPr>
        <w:t xml:space="preserve">elevant </w:t>
      </w:r>
      <w:r>
        <w:rPr>
          <w:rFonts w:ascii="Arial" w:hAnsi="Arial" w:cs="Arial"/>
          <w:sz w:val="22"/>
          <w:szCs w:val="22"/>
        </w:rPr>
        <w:t>M</w:t>
      </w:r>
      <w:r w:rsidRPr="00B02516">
        <w:rPr>
          <w:rFonts w:ascii="Arial" w:hAnsi="Arial" w:cs="Arial"/>
          <w:sz w:val="22"/>
          <w:szCs w:val="22"/>
        </w:rPr>
        <w:t>aterial in the Human Tissue Act 2004 (excluding human application) is:</w:t>
      </w:r>
    </w:p>
    <w:p w14:paraId="68DDF23E" w14:textId="77777777" w:rsidR="00DD1F85" w:rsidRPr="00B02516" w:rsidRDefault="00DD1F85" w:rsidP="00DD1F85">
      <w:pPr>
        <w:jc w:val="both"/>
        <w:rPr>
          <w:rFonts w:ascii="Arial" w:hAnsi="Arial" w:cs="Arial"/>
          <w:sz w:val="22"/>
          <w:szCs w:val="22"/>
        </w:rPr>
      </w:pPr>
    </w:p>
    <w:p w14:paraId="25A311D0" w14:textId="77777777" w:rsidR="00DD1F85" w:rsidRPr="00C069B7" w:rsidRDefault="00DD1F85" w:rsidP="00DD1F85">
      <w:pPr>
        <w:jc w:val="both"/>
        <w:rPr>
          <w:rFonts w:ascii="Arial" w:hAnsi="Arial" w:cs="Arial"/>
          <w:sz w:val="22"/>
          <w:szCs w:val="22"/>
        </w:rPr>
      </w:pPr>
      <w:r w:rsidRPr="00C069B7">
        <w:rPr>
          <w:rFonts w:ascii="Arial" w:hAnsi="Arial" w:cs="Arial"/>
          <w:sz w:val="22"/>
          <w:szCs w:val="22"/>
        </w:rPr>
        <w:t>Section 53: Relevant Material</w:t>
      </w:r>
    </w:p>
    <w:p w14:paraId="7BEF1181" w14:textId="40E43056" w:rsidR="00DD1F85" w:rsidRPr="00163F93" w:rsidRDefault="00DD1F85" w:rsidP="00DD1F85">
      <w:pPr>
        <w:jc w:val="both"/>
        <w:rPr>
          <w:rFonts w:ascii="Arial" w:hAnsi="Arial" w:cs="Arial"/>
          <w:i/>
          <w:iCs/>
          <w:sz w:val="22"/>
          <w:szCs w:val="22"/>
        </w:rPr>
      </w:pPr>
      <w:r w:rsidRPr="00163F93">
        <w:rPr>
          <w:rFonts w:ascii="Arial" w:hAnsi="Arial" w:cs="Arial"/>
          <w:i/>
          <w:iCs/>
          <w:sz w:val="22"/>
          <w:szCs w:val="22"/>
        </w:rPr>
        <w:t>1. In this Act, "relevant material" means material, other than gametes, which consists of or includes human cells.</w:t>
      </w:r>
    </w:p>
    <w:p w14:paraId="1D7F83DE" w14:textId="7E2B8627" w:rsidR="00DD1F85" w:rsidRPr="00163F93" w:rsidRDefault="00DD1F85" w:rsidP="00DD1F85">
      <w:pPr>
        <w:jc w:val="both"/>
        <w:rPr>
          <w:rFonts w:ascii="Arial" w:hAnsi="Arial" w:cs="Arial"/>
          <w:i/>
          <w:iCs/>
          <w:sz w:val="22"/>
          <w:szCs w:val="22"/>
        </w:rPr>
      </w:pPr>
      <w:r w:rsidRPr="00163F93">
        <w:rPr>
          <w:rFonts w:ascii="Arial" w:hAnsi="Arial" w:cs="Arial"/>
          <w:i/>
          <w:iCs/>
          <w:sz w:val="22"/>
          <w:szCs w:val="22"/>
        </w:rPr>
        <w:t>2. In this Act, references to relevant material from a human body do not include:</w:t>
      </w:r>
    </w:p>
    <w:p w14:paraId="3FF294D2" w14:textId="77777777" w:rsidR="00DD1F85" w:rsidRPr="00163F93" w:rsidRDefault="00DD1F85" w:rsidP="00DD1F85">
      <w:pPr>
        <w:jc w:val="both"/>
        <w:rPr>
          <w:rFonts w:ascii="Arial" w:hAnsi="Arial" w:cs="Arial"/>
          <w:i/>
          <w:iCs/>
          <w:sz w:val="22"/>
          <w:szCs w:val="22"/>
        </w:rPr>
      </w:pPr>
      <w:r w:rsidRPr="00163F93">
        <w:rPr>
          <w:rFonts w:ascii="Arial" w:hAnsi="Arial" w:cs="Arial"/>
          <w:i/>
          <w:iCs/>
          <w:sz w:val="22"/>
          <w:szCs w:val="22"/>
        </w:rPr>
        <w:t>(a) embryos outside the human body, or</w:t>
      </w:r>
    </w:p>
    <w:p w14:paraId="58440678" w14:textId="77777777" w:rsidR="00DD1F85" w:rsidRPr="00163F93" w:rsidRDefault="00DD1F85" w:rsidP="00DD1F85">
      <w:pPr>
        <w:jc w:val="both"/>
        <w:rPr>
          <w:rFonts w:ascii="Arial" w:hAnsi="Arial" w:cs="Arial"/>
          <w:i/>
          <w:iCs/>
          <w:sz w:val="22"/>
          <w:szCs w:val="22"/>
        </w:rPr>
      </w:pPr>
      <w:r w:rsidRPr="00163F93">
        <w:rPr>
          <w:rFonts w:ascii="Arial" w:hAnsi="Arial" w:cs="Arial"/>
          <w:i/>
          <w:iCs/>
          <w:sz w:val="22"/>
          <w:szCs w:val="22"/>
        </w:rPr>
        <w:t>(b) hair and nail from the body of a living person.</w:t>
      </w:r>
    </w:p>
    <w:p w14:paraId="44B8FCB0" w14:textId="77777777" w:rsidR="00DD1F85" w:rsidRPr="00B02516" w:rsidRDefault="00DD1F85" w:rsidP="00DD1F85">
      <w:pPr>
        <w:jc w:val="both"/>
        <w:rPr>
          <w:rFonts w:ascii="Arial" w:hAnsi="Arial" w:cs="Arial"/>
          <w:sz w:val="22"/>
          <w:szCs w:val="22"/>
        </w:rPr>
      </w:pPr>
    </w:p>
    <w:p w14:paraId="3597C18F" w14:textId="0598BEBD" w:rsidR="00004A39" w:rsidRDefault="00DD1F85" w:rsidP="00CD3719">
      <w:pPr>
        <w:jc w:val="both"/>
      </w:pPr>
      <w:r w:rsidRPr="00B02516">
        <w:rPr>
          <w:rFonts w:ascii="Arial" w:hAnsi="Arial" w:cs="Arial"/>
          <w:sz w:val="22"/>
          <w:szCs w:val="22"/>
        </w:rPr>
        <w:t xml:space="preserve">To supplement the HTA's broader policy framework on </w:t>
      </w:r>
      <w:r>
        <w:rPr>
          <w:rFonts w:ascii="Arial" w:hAnsi="Arial" w:cs="Arial"/>
          <w:sz w:val="22"/>
          <w:szCs w:val="22"/>
        </w:rPr>
        <w:t>R</w:t>
      </w:r>
      <w:r w:rsidRPr="00B02516">
        <w:rPr>
          <w:rFonts w:ascii="Arial" w:hAnsi="Arial" w:cs="Arial"/>
          <w:sz w:val="22"/>
          <w:szCs w:val="22"/>
        </w:rPr>
        <w:t xml:space="preserve">elevant </w:t>
      </w:r>
      <w:r>
        <w:rPr>
          <w:rFonts w:ascii="Arial" w:hAnsi="Arial" w:cs="Arial"/>
          <w:sz w:val="22"/>
          <w:szCs w:val="22"/>
        </w:rPr>
        <w:t>M</w:t>
      </w:r>
      <w:r w:rsidRPr="00B02516">
        <w:rPr>
          <w:rFonts w:ascii="Arial" w:hAnsi="Arial" w:cs="Arial"/>
          <w:sz w:val="22"/>
          <w:szCs w:val="22"/>
        </w:rPr>
        <w:t xml:space="preserve">aterial, a list has been produced to provide stakeholders with guidance on whether specific materials fall within the definition of </w:t>
      </w:r>
      <w:r w:rsidR="00CD3719">
        <w:rPr>
          <w:rFonts w:ascii="Arial" w:hAnsi="Arial" w:cs="Arial"/>
          <w:sz w:val="22"/>
          <w:szCs w:val="22"/>
        </w:rPr>
        <w:t>R</w:t>
      </w:r>
      <w:r w:rsidRPr="00B02516">
        <w:rPr>
          <w:rFonts w:ascii="Arial" w:hAnsi="Arial" w:cs="Arial"/>
          <w:sz w:val="22"/>
          <w:szCs w:val="22"/>
        </w:rPr>
        <w:t xml:space="preserve">elevant </w:t>
      </w:r>
      <w:r w:rsidR="00CD3719">
        <w:rPr>
          <w:rFonts w:ascii="Arial" w:hAnsi="Arial" w:cs="Arial"/>
          <w:sz w:val="22"/>
          <w:szCs w:val="22"/>
        </w:rPr>
        <w:t>M</w:t>
      </w:r>
      <w:r w:rsidR="00CD3719" w:rsidRPr="00B02516">
        <w:rPr>
          <w:rFonts w:ascii="Arial" w:hAnsi="Arial" w:cs="Arial"/>
          <w:sz w:val="22"/>
          <w:szCs w:val="22"/>
        </w:rPr>
        <w:t xml:space="preserve">aterial </w:t>
      </w:r>
      <w:r w:rsidRPr="00B02516">
        <w:rPr>
          <w:rFonts w:ascii="Arial" w:hAnsi="Arial" w:cs="Arial"/>
          <w:sz w:val="22"/>
          <w:szCs w:val="22"/>
        </w:rPr>
        <w:t>under the Human Tissue Act.</w:t>
      </w:r>
      <w:r>
        <w:rPr>
          <w:rFonts w:ascii="Arial" w:hAnsi="Arial" w:cs="Arial"/>
          <w:sz w:val="22"/>
          <w:szCs w:val="22"/>
        </w:rPr>
        <w:t xml:space="preserve"> The list is available on the HTA website:</w:t>
      </w:r>
      <w:r w:rsidRPr="00B02516">
        <w:t xml:space="preserve"> </w:t>
      </w:r>
      <w:hyperlink r:id="rId13" w:history="1">
        <w:r w:rsidR="00E81B70" w:rsidRPr="00E32FD4">
          <w:rPr>
            <w:rStyle w:val="Hyperlink"/>
            <w:rFonts w:ascii="Arial" w:hAnsi="Arial" w:cs="Arial"/>
            <w:sz w:val="22"/>
            <w:szCs w:val="22"/>
          </w:rPr>
          <w:t>List of materi</w:t>
        </w:r>
        <w:r w:rsidR="00E81B70" w:rsidRPr="00E32FD4">
          <w:rPr>
            <w:rStyle w:val="Hyperlink"/>
            <w:rFonts w:ascii="Arial" w:hAnsi="Arial" w:cs="Arial"/>
            <w:sz w:val="22"/>
            <w:szCs w:val="22"/>
          </w:rPr>
          <w:t>a</w:t>
        </w:r>
        <w:r w:rsidR="00E81B70" w:rsidRPr="00E32FD4">
          <w:rPr>
            <w:rStyle w:val="Hyperlink"/>
            <w:rFonts w:ascii="Arial" w:hAnsi="Arial" w:cs="Arial"/>
            <w:sz w:val="22"/>
            <w:szCs w:val="22"/>
          </w:rPr>
          <w:t>ls considered to be ‘relevant material’ under the Human Tissue Act 2004</w:t>
        </w:r>
        <w:r w:rsidR="004A2E8E">
          <w:rPr>
            <w:rStyle w:val="Hyperlink"/>
            <w:rFonts w:ascii="Arial" w:hAnsi="Arial" w:cs="Arial"/>
            <w:sz w:val="22"/>
            <w:szCs w:val="22"/>
          </w:rPr>
          <w:t>.</w:t>
        </w:r>
      </w:hyperlink>
    </w:p>
    <w:p w14:paraId="6F8173E5" w14:textId="77777777" w:rsidR="00794869" w:rsidRDefault="00794869" w:rsidP="00CD3719">
      <w:pPr>
        <w:jc w:val="both"/>
        <w:rPr>
          <w:rFonts w:ascii="Arial" w:hAnsi="Arial" w:cs="Arial"/>
          <w:b/>
        </w:rPr>
      </w:pPr>
    </w:p>
    <w:p w14:paraId="1821D286" w14:textId="77777777" w:rsidR="00DD1F85" w:rsidRDefault="00DD1F85" w:rsidP="00D42745">
      <w:pPr>
        <w:numPr>
          <w:ilvl w:val="1"/>
          <w:numId w:val="1"/>
        </w:numPr>
        <w:rPr>
          <w:rFonts w:ascii="Arial" w:hAnsi="Arial" w:cs="Arial"/>
          <w:b/>
        </w:rPr>
      </w:pPr>
      <w:r>
        <w:rPr>
          <w:rFonts w:ascii="Arial" w:hAnsi="Arial" w:cs="Arial"/>
          <w:b/>
        </w:rPr>
        <w:t>HTA Directions</w:t>
      </w:r>
    </w:p>
    <w:p w14:paraId="64960E1B" w14:textId="77777777" w:rsidR="00DD1F85" w:rsidRDefault="00DD1F85" w:rsidP="00DD1F85">
      <w:pPr>
        <w:rPr>
          <w:rFonts w:ascii="Arial" w:hAnsi="Arial" w:cs="Arial"/>
          <w:b/>
        </w:rPr>
      </w:pPr>
    </w:p>
    <w:p w14:paraId="6BA8212F" w14:textId="694212FB" w:rsidR="00DD1F85" w:rsidRDefault="00DD1F85" w:rsidP="00DD1F85">
      <w:pPr>
        <w:jc w:val="both"/>
        <w:rPr>
          <w:rFonts w:ascii="Arial" w:hAnsi="Arial" w:cs="Arial"/>
          <w:sz w:val="22"/>
          <w:szCs w:val="22"/>
        </w:rPr>
      </w:pPr>
      <w:r w:rsidRPr="00DD1F85">
        <w:rPr>
          <w:rFonts w:ascii="Arial" w:hAnsi="Arial" w:cs="Arial"/>
          <w:sz w:val="22"/>
          <w:szCs w:val="22"/>
        </w:rPr>
        <w:t>Under the H</w:t>
      </w:r>
      <w:r w:rsidR="000D2A72">
        <w:rPr>
          <w:rFonts w:ascii="Arial" w:hAnsi="Arial" w:cs="Arial"/>
          <w:sz w:val="22"/>
          <w:szCs w:val="22"/>
        </w:rPr>
        <w:t>T</w:t>
      </w:r>
      <w:r w:rsidRPr="00DD1F85">
        <w:rPr>
          <w:rFonts w:ascii="Arial" w:hAnsi="Arial" w:cs="Arial"/>
          <w:sz w:val="22"/>
          <w:szCs w:val="22"/>
        </w:rPr>
        <w:t xml:space="preserve"> Act, the HTA has the power to issue its expected standards (or Directions) to establishments. This means that the HTA can issue general Directions to establishments to </w:t>
      </w:r>
      <w:proofErr w:type="gramStart"/>
      <w:r w:rsidRPr="00DD1F85">
        <w:rPr>
          <w:rFonts w:ascii="Arial" w:hAnsi="Arial" w:cs="Arial"/>
          <w:sz w:val="22"/>
          <w:szCs w:val="22"/>
        </w:rPr>
        <w:t>take into account</w:t>
      </w:r>
      <w:proofErr w:type="gramEnd"/>
      <w:r w:rsidRPr="00DD1F85">
        <w:rPr>
          <w:rFonts w:ascii="Arial" w:hAnsi="Arial" w:cs="Arial"/>
          <w:sz w:val="22"/>
          <w:szCs w:val="22"/>
        </w:rPr>
        <w:t xml:space="preserve"> changes in policy and legislation. The HTA may also make Directions that are specific to a particular establishment.</w:t>
      </w:r>
    </w:p>
    <w:p w14:paraId="26DF0E70" w14:textId="77777777" w:rsidR="00E81B70" w:rsidRPr="00DD1F85" w:rsidRDefault="00E81B70" w:rsidP="00DD1F85">
      <w:pPr>
        <w:jc w:val="both"/>
        <w:rPr>
          <w:rFonts w:ascii="Arial" w:hAnsi="Arial" w:cs="Arial"/>
          <w:sz w:val="22"/>
          <w:szCs w:val="22"/>
        </w:rPr>
      </w:pPr>
    </w:p>
    <w:p w14:paraId="2C0E0030" w14:textId="77777777" w:rsidR="00DD1F85" w:rsidRDefault="00DD1F85">
      <w:pPr>
        <w:rPr>
          <w:rFonts w:ascii="Arial" w:hAnsi="Arial" w:cs="Arial"/>
          <w:b/>
        </w:rPr>
      </w:pPr>
    </w:p>
    <w:p w14:paraId="3029EB82" w14:textId="5E525B97" w:rsidR="00F20A17" w:rsidRDefault="00F20A17" w:rsidP="00D42745">
      <w:pPr>
        <w:numPr>
          <w:ilvl w:val="1"/>
          <w:numId w:val="1"/>
        </w:numPr>
        <w:rPr>
          <w:rFonts w:ascii="Arial" w:hAnsi="Arial" w:cs="Arial"/>
          <w:b/>
        </w:rPr>
      </w:pPr>
      <w:r>
        <w:rPr>
          <w:rFonts w:ascii="Arial" w:hAnsi="Arial" w:cs="Arial"/>
          <w:b/>
        </w:rPr>
        <w:t>HTA Codes of Practice</w:t>
      </w:r>
      <w:r w:rsidR="00FC3C43">
        <w:rPr>
          <w:rFonts w:ascii="Arial" w:hAnsi="Arial" w:cs="Arial"/>
          <w:b/>
        </w:rPr>
        <w:t xml:space="preserve"> </w:t>
      </w:r>
      <w:r w:rsidR="00CD3719">
        <w:rPr>
          <w:rFonts w:ascii="Arial" w:hAnsi="Arial" w:cs="Arial"/>
          <w:b/>
        </w:rPr>
        <w:t xml:space="preserve">and Guiding </w:t>
      </w:r>
      <w:r w:rsidR="003E05F6">
        <w:rPr>
          <w:rFonts w:ascii="Arial" w:hAnsi="Arial" w:cs="Arial"/>
          <w:b/>
        </w:rPr>
        <w:t>P</w:t>
      </w:r>
      <w:r w:rsidR="00CD3719">
        <w:rPr>
          <w:rFonts w:ascii="Arial" w:hAnsi="Arial" w:cs="Arial"/>
          <w:b/>
        </w:rPr>
        <w:t>rinciples</w:t>
      </w:r>
    </w:p>
    <w:p w14:paraId="533CAB4C" w14:textId="77777777" w:rsidR="00F20A17" w:rsidRDefault="00F20A17">
      <w:pPr>
        <w:rPr>
          <w:rFonts w:ascii="Arial" w:hAnsi="Arial" w:cs="Arial"/>
          <w:b/>
        </w:rPr>
      </w:pPr>
    </w:p>
    <w:p w14:paraId="598470FA" w14:textId="18821E9D" w:rsidR="00F20A17" w:rsidRDefault="00F20A17">
      <w:pPr>
        <w:jc w:val="both"/>
        <w:rPr>
          <w:rFonts w:ascii="Arial" w:hAnsi="Arial" w:cs="Arial"/>
          <w:sz w:val="22"/>
          <w:szCs w:val="22"/>
        </w:rPr>
      </w:pPr>
      <w:r>
        <w:rPr>
          <w:rFonts w:ascii="Arial" w:hAnsi="Arial" w:cs="Arial"/>
          <w:sz w:val="22"/>
          <w:szCs w:val="22"/>
        </w:rPr>
        <w:t xml:space="preserve">The HTA Codes provide interpretation of the HT Act and </w:t>
      </w:r>
      <w:r w:rsidR="00AF76AD">
        <w:rPr>
          <w:rFonts w:ascii="Arial" w:hAnsi="Arial" w:cs="Arial"/>
          <w:sz w:val="22"/>
          <w:szCs w:val="22"/>
        </w:rPr>
        <w:t xml:space="preserve">HTA </w:t>
      </w:r>
      <w:r w:rsidR="0066128A">
        <w:rPr>
          <w:rFonts w:ascii="Arial" w:hAnsi="Arial" w:cs="Arial"/>
          <w:sz w:val="22"/>
          <w:szCs w:val="22"/>
        </w:rPr>
        <w:t xml:space="preserve">Directions </w:t>
      </w:r>
      <w:r>
        <w:rPr>
          <w:rFonts w:ascii="Arial" w:hAnsi="Arial" w:cs="Arial"/>
          <w:sz w:val="22"/>
          <w:szCs w:val="22"/>
        </w:rPr>
        <w:t>and give practical guidance to support good practice in important areas of science and medicine.</w:t>
      </w:r>
    </w:p>
    <w:p w14:paraId="48EF1604" w14:textId="77777777" w:rsidR="00F20A17" w:rsidRPr="0006143E" w:rsidRDefault="00F20A17">
      <w:pPr>
        <w:jc w:val="both"/>
        <w:rPr>
          <w:rFonts w:ascii="Arial" w:hAnsi="Arial" w:cs="Arial"/>
          <w:sz w:val="22"/>
          <w:szCs w:val="22"/>
        </w:rPr>
      </w:pPr>
    </w:p>
    <w:p w14:paraId="172C6036" w14:textId="1731C304" w:rsidR="00F20A17" w:rsidRPr="0006143E" w:rsidRDefault="0006143E" w:rsidP="00D5636B">
      <w:pPr>
        <w:jc w:val="both"/>
        <w:rPr>
          <w:rFonts w:ascii="Arial" w:hAnsi="Arial" w:cs="Arial"/>
          <w:sz w:val="22"/>
          <w:szCs w:val="22"/>
        </w:rPr>
      </w:pPr>
      <w:r w:rsidRPr="0006143E">
        <w:rPr>
          <w:rFonts w:ascii="Arial" w:hAnsi="Arial" w:cs="Arial"/>
          <w:sz w:val="22"/>
          <w:szCs w:val="22"/>
        </w:rPr>
        <w:t xml:space="preserve">The HTA </w:t>
      </w:r>
      <w:r w:rsidR="008C3EF5">
        <w:rPr>
          <w:rFonts w:ascii="Arial" w:hAnsi="Arial" w:cs="Arial"/>
          <w:sz w:val="22"/>
          <w:szCs w:val="22"/>
        </w:rPr>
        <w:t>C</w:t>
      </w:r>
      <w:r w:rsidRPr="0006143E">
        <w:rPr>
          <w:rFonts w:ascii="Arial" w:hAnsi="Arial" w:cs="Arial"/>
          <w:sz w:val="22"/>
          <w:szCs w:val="22"/>
        </w:rPr>
        <w:t xml:space="preserve">odes </w:t>
      </w:r>
      <w:r w:rsidR="00740BD7">
        <w:rPr>
          <w:rFonts w:ascii="Arial" w:hAnsi="Arial" w:cs="Arial"/>
          <w:sz w:val="22"/>
          <w:szCs w:val="22"/>
        </w:rPr>
        <w:t xml:space="preserve">are detailed in the </w:t>
      </w:r>
      <w:r w:rsidR="00FE7C68">
        <w:rPr>
          <w:rFonts w:ascii="Arial" w:hAnsi="Arial" w:cs="Arial"/>
          <w:sz w:val="22"/>
          <w:szCs w:val="22"/>
        </w:rPr>
        <w:t xml:space="preserve">list </w:t>
      </w:r>
      <w:r w:rsidR="00740BD7">
        <w:rPr>
          <w:rFonts w:ascii="Arial" w:hAnsi="Arial" w:cs="Arial"/>
          <w:sz w:val="22"/>
          <w:szCs w:val="22"/>
        </w:rPr>
        <w:t>below</w:t>
      </w:r>
      <w:r w:rsidR="00FE7C68">
        <w:rPr>
          <w:rFonts w:ascii="Arial" w:hAnsi="Arial" w:cs="Arial"/>
          <w:sz w:val="22"/>
          <w:szCs w:val="22"/>
        </w:rPr>
        <w:t xml:space="preserve">. The most </w:t>
      </w:r>
      <w:r w:rsidR="00A014F5">
        <w:rPr>
          <w:rFonts w:ascii="Arial" w:hAnsi="Arial" w:cs="Arial"/>
          <w:sz w:val="22"/>
          <w:szCs w:val="22"/>
        </w:rPr>
        <w:t>up to date</w:t>
      </w:r>
      <w:r w:rsidR="00FE7C68">
        <w:rPr>
          <w:rFonts w:ascii="Arial" w:hAnsi="Arial" w:cs="Arial"/>
          <w:sz w:val="22"/>
          <w:szCs w:val="22"/>
        </w:rPr>
        <w:t xml:space="preserve"> </w:t>
      </w:r>
      <w:r w:rsidR="008C3EF5">
        <w:rPr>
          <w:rFonts w:ascii="Arial" w:hAnsi="Arial" w:cs="Arial"/>
          <w:sz w:val="22"/>
          <w:szCs w:val="22"/>
        </w:rPr>
        <w:t>HTA C</w:t>
      </w:r>
      <w:r w:rsidR="00FE7C68">
        <w:rPr>
          <w:rFonts w:ascii="Arial" w:hAnsi="Arial" w:cs="Arial"/>
          <w:sz w:val="22"/>
          <w:szCs w:val="22"/>
        </w:rPr>
        <w:t>odes</w:t>
      </w:r>
      <w:r w:rsidR="00E25FA7">
        <w:rPr>
          <w:rFonts w:ascii="Arial" w:hAnsi="Arial" w:cs="Arial"/>
          <w:sz w:val="22"/>
          <w:szCs w:val="22"/>
        </w:rPr>
        <w:t>, and associated licensing standards</w:t>
      </w:r>
      <w:r w:rsidR="008141D1">
        <w:rPr>
          <w:rFonts w:ascii="Arial" w:hAnsi="Arial" w:cs="Arial"/>
          <w:sz w:val="22"/>
          <w:szCs w:val="22"/>
        </w:rPr>
        <w:t xml:space="preserve"> and guidance</w:t>
      </w:r>
      <w:r w:rsidR="00E25FA7">
        <w:rPr>
          <w:rFonts w:ascii="Arial" w:hAnsi="Arial" w:cs="Arial"/>
          <w:sz w:val="22"/>
          <w:szCs w:val="22"/>
        </w:rPr>
        <w:t>,</w:t>
      </w:r>
      <w:r w:rsidR="00FE7C68">
        <w:rPr>
          <w:rFonts w:ascii="Arial" w:hAnsi="Arial" w:cs="Arial"/>
          <w:sz w:val="22"/>
          <w:szCs w:val="22"/>
        </w:rPr>
        <w:t xml:space="preserve"> should be downloaded from the </w:t>
      </w:r>
      <w:r w:rsidR="00740BD7">
        <w:rPr>
          <w:rFonts w:ascii="Arial" w:hAnsi="Arial" w:cs="Arial"/>
          <w:sz w:val="22"/>
          <w:szCs w:val="22"/>
        </w:rPr>
        <w:t>HTA website:</w:t>
      </w:r>
      <w:r w:rsidR="004A2E8E">
        <w:rPr>
          <w:rFonts w:ascii="Arial" w:hAnsi="Arial" w:cs="Arial"/>
          <w:sz w:val="22"/>
          <w:szCs w:val="22"/>
        </w:rPr>
        <w:t xml:space="preserve"> </w:t>
      </w:r>
      <w:hyperlink r:id="rId14" w:history="1">
        <w:r w:rsidR="004A2E8E" w:rsidRPr="004A2E8E">
          <w:rPr>
            <w:rStyle w:val="Hyperlink"/>
            <w:rFonts w:ascii="Arial" w:hAnsi="Arial" w:cs="Arial"/>
            <w:sz w:val="22"/>
            <w:szCs w:val="22"/>
          </w:rPr>
          <w:t>HTA Codes, standards and guidance</w:t>
        </w:r>
      </w:hyperlink>
      <w:r w:rsidR="00377C92">
        <w:rPr>
          <w:rFonts w:ascii="Arial" w:hAnsi="Arial" w:cs="Arial"/>
          <w:sz w:val="22"/>
          <w:szCs w:val="22"/>
        </w:rPr>
        <w:t xml:space="preserve">. </w:t>
      </w:r>
      <w:r w:rsidR="00C363BD">
        <w:rPr>
          <w:rFonts w:ascii="Arial" w:hAnsi="Arial" w:cs="Arial"/>
          <w:sz w:val="22"/>
          <w:szCs w:val="22"/>
        </w:rPr>
        <w:t>In addition</w:t>
      </w:r>
      <w:r w:rsidR="002106B1">
        <w:rPr>
          <w:rFonts w:ascii="Arial" w:hAnsi="Arial" w:cs="Arial"/>
          <w:sz w:val="22"/>
          <w:szCs w:val="22"/>
        </w:rPr>
        <w:t>,</w:t>
      </w:r>
      <w:r w:rsidR="00C363BD">
        <w:rPr>
          <w:rFonts w:ascii="Arial" w:hAnsi="Arial" w:cs="Arial"/>
          <w:sz w:val="22"/>
          <w:szCs w:val="22"/>
        </w:rPr>
        <w:t xml:space="preserve"> the MRC have produced a series of </w:t>
      </w:r>
      <w:r w:rsidR="00AB3691">
        <w:rPr>
          <w:rFonts w:ascii="Arial" w:hAnsi="Arial" w:cs="Arial"/>
          <w:sz w:val="22"/>
          <w:szCs w:val="22"/>
        </w:rPr>
        <w:t>human tissue legislation summaries</w:t>
      </w:r>
      <w:r w:rsidR="00C363BD">
        <w:rPr>
          <w:rFonts w:ascii="Arial" w:hAnsi="Arial" w:cs="Arial"/>
          <w:sz w:val="22"/>
          <w:szCs w:val="22"/>
        </w:rPr>
        <w:t xml:space="preserve"> in collaboration with the HTA</w:t>
      </w:r>
      <w:r w:rsidR="00C52E64">
        <w:rPr>
          <w:rFonts w:ascii="Arial" w:hAnsi="Arial" w:cs="Arial"/>
          <w:sz w:val="22"/>
          <w:szCs w:val="22"/>
        </w:rPr>
        <w:t xml:space="preserve">: </w:t>
      </w:r>
      <w:hyperlink r:id="rId15" w:history="1">
        <w:r w:rsidR="00C52E64" w:rsidRPr="00C52E64">
          <w:rPr>
            <w:rStyle w:val="Hyperlink"/>
            <w:rFonts w:ascii="Arial" w:hAnsi="Arial" w:cs="Arial"/>
            <w:sz w:val="22"/>
            <w:szCs w:val="22"/>
          </w:rPr>
          <w:t>MRC guidance for using human samples in research</w:t>
        </w:r>
      </w:hyperlink>
      <w:r w:rsidR="00C52E64">
        <w:rPr>
          <w:rFonts w:ascii="Arial" w:hAnsi="Arial" w:cs="Arial"/>
          <w:sz w:val="22"/>
          <w:szCs w:val="22"/>
        </w:rPr>
        <w:t>.</w:t>
      </w:r>
      <w:r w:rsidR="00C363BD">
        <w:rPr>
          <w:rFonts w:ascii="Arial" w:hAnsi="Arial" w:cs="Arial"/>
          <w:sz w:val="22"/>
          <w:szCs w:val="22"/>
        </w:rPr>
        <w:t xml:space="preserve"> </w:t>
      </w:r>
    </w:p>
    <w:p w14:paraId="1C73B968" w14:textId="77777777" w:rsidR="00F20A17" w:rsidRDefault="00F20A17">
      <w:pPr>
        <w:rPr>
          <w:rFonts w:ascii="Arial" w:hAnsi="Arial" w:cs="Arial"/>
          <w:sz w:val="22"/>
          <w:szCs w:val="22"/>
        </w:rPr>
      </w:pPr>
    </w:p>
    <w:p w14:paraId="1E9C90B1" w14:textId="77777777" w:rsidR="00FE7C68" w:rsidRDefault="00FE7C68" w:rsidP="00FE7C68">
      <w:pPr>
        <w:jc w:val="both"/>
        <w:rPr>
          <w:rFonts w:ascii="Arial" w:hAnsi="Arial" w:cs="Arial"/>
          <w:sz w:val="22"/>
          <w:szCs w:val="22"/>
        </w:rPr>
      </w:pPr>
      <w:r>
        <w:rPr>
          <w:rFonts w:ascii="Arial" w:hAnsi="Arial" w:cs="Arial"/>
          <w:sz w:val="22"/>
          <w:szCs w:val="22"/>
        </w:rPr>
        <w:lastRenderedPageBreak/>
        <w:t xml:space="preserve">The HTA Codes are incorporated by reference into the University’s Code. </w:t>
      </w:r>
      <w:r>
        <w:rPr>
          <w:rFonts w:ascii="Arial" w:hAnsi="Arial" w:cs="Arial"/>
          <w:bCs/>
          <w:sz w:val="22"/>
          <w:szCs w:val="22"/>
        </w:rPr>
        <w:t xml:space="preserve">All staff and students involved in activities involving </w:t>
      </w:r>
      <w:r>
        <w:rPr>
          <w:rFonts w:ascii="Arial" w:hAnsi="Arial" w:cs="Arial"/>
          <w:sz w:val="22"/>
          <w:szCs w:val="22"/>
        </w:rPr>
        <w:t>Relevant Material</w:t>
      </w:r>
      <w:r>
        <w:rPr>
          <w:rFonts w:ascii="Arial" w:hAnsi="Arial" w:cs="Arial"/>
          <w:bCs/>
          <w:sz w:val="22"/>
          <w:szCs w:val="22"/>
        </w:rPr>
        <w:t xml:space="preserve"> are responsible for reading and applying the University Code</w:t>
      </w:r>
      <w:r>
        <w:rPr>
          <w:rFonts w:ascii="Arial" w:hAnsi="Arial" w:cs="Arial"/>
          <w:sz w:val="22"/>
          <w:szCs w:val="22"/>
        </w:rPr>
        <w:t>.</w:t>
      </w:r>
    </w:p>
    <w:p w14:paraId="77679BD5" w14:textId="77777777" w:rsidR="00FE7C68" w:rsidRDefault="00FE7C68">
      <w:pPr>
        <w:rPr>
          <w:rFonts w:ascii="Arial" w:hAnsi="Arial" w:cs="Arial"/>
          <w:sz w:val="22"/>
          <w:szCs w:val="22"/>
        </w:rPr>
      </w:pPr>
    </w:p>
    <w:tbl>
      <w:tblPr>
        <w:tblStyle w:val="TableGrid"/>
        <w:tblW w:w="8330" w:type="dxa"/>
        <w:tblLook w:val="04A0" w:firstRow="1" w:lastRow="0" w:firstColumn="1" w:lastColumn="0" w:noHBand="0" w:noVBand="1"/>
      </w:tblPr>
      <w:tblGrid>
        <w:gridCol w:w="1951"/>
        <w:gridCol w:w="6379"/>
      </w:tblGrid>
      <w:tr w:rsidR="00D42745" w14:paraId="0CB5C53A" w14:textId="77777777" w:rsidTr="00D42745">
        <w:tc>
          <w:tcPr>
            <w:tcW w:w="1951" w:type="dxa"/>
          </w:tcPr>
          <w:p w14:paraId="5CD229CC" w14:textId="77777777" w:rsidR="00D42745" w:rsidRDefault="00D42745">
            <w:pPr>
              <w:rPr>
                <w:rFonts w:ascii="Arial" w:hAnsi="Arial" w:cs="Arial"/>
                <w:sz w:val="22"/>
                <w:szCs w:val="22"/>
              </w:rPr>
            </w:pPr>
            <w:r>
              <w:rPr>
                <w:rFonts w:ascii="Arial" w:hAnsi="Arial" w:cs="Arial"/>
                <w:sz w:val="22"/>
                <w:szCs w:val="22"/>
              </w:rPr>
              <w:t>Code of Practice</w:t>
            </w:r>
          </w:p>
        </w:tc>
        <w:tc>
          <w:tcPr>
            <w:tcW w:w="6379" w:type="dxa"/>
          </w:tcPr>
          <w:p w14:paraId="059A54D9" w14:textId="77777777" w:rsidR="00D42745" w:rsidRDefault="00D42745">
            <w:pPr>
              <w:rPr>
                <w:rFonts w:ascii="Arial" w:hAnsi="Arial" w:cs="Arial"/>
                <w:sz w:val="22"/>
                <w:szCs w:val="22"/>
              </w:rPr>
            </w:pPr>
            <w:r>
              <w:rPr>
                <w:rFonts w:ascii="Arial" w:hAnsi="Arial" w:cs="Arial"/>
                <w:sz w:val="22"/>
                <w:szCs w:val="22"/>
              </w:rPr>
              <w:t>Topic</w:t>
            </w:r>
          </w:p>
        </w:tc>
      </w:tr>
      <w:tr w:rsidR="00D42745" w14:paraId="026DE947" w14:textId="77777777" w:rsidTr="00D42745">
        <w:tc>
          <w:tcPr>
            <w:tcW w:w="1951" w:type="dxa"/>
          </w:tcPr>
          <w:p w14:paraId="345C04FB" w14:textId="6421E01C" w:rsidR="00D42745" w:rsidRDefault="00CA04C9">
            <w:pPr>
              <w:rPr>
                <w:rFonts w:ascii="Arial" w:hAnsi="Arial" w:cs="Arial"/>
                <w:sz w:val="22"/>
                <w:szCs w:val="22"/>
              </w:rPr>
            </w:pPr>
            <w:r>
              <w:rPr>
                <w:rFonts w:ascii="Arial" w:hAnsi="Arial" w:cs="Arial"/>
                <w:sz w:val="22"/>
                <w:szCs w:val="22"/>
              </w:rPr>
              <w:t>A</w:t>
            </w:r>
          </w:p>
        </w:tc>
        <w:tc>
          <w:tcPr>
            <w:tcW w:w="6379" w:type="dxa"/>
          </w:tcPr>
          <w:p w14:paraId="4937F2E4" w14:textId="029F869D" w:rsidR="00D42745" w:rsidRDefault="00CA04C9">
            <w:pPr>
              <w:rPr>
                <w:rFonts w:ascii="Arial" w:hAnsi="Arial" w:cs="Arial"/>
                <w:sz w:val="22"/>
                <w:szCs w:val="22"/>
              </w:rPr>
            </w:pPr>
            <w:r>
              <w:rPr>
                <w:rFonts w:ascii="Arial" w:hAnsi="Arial" w:cs="Arial"/>
                <w:sz w:val="22"/>
                <w:szCs w:val="22"/>
              </w:rPr>
              <w:t xml:space="preserve">Guiding principles and the fundamental principle of </w:t>
            </w:r>
            <w:r w:rsidR="00F35900">
              <w:rPr>
                <w:rFonts w:ascii="Arial" w:hAnsi="Arial" w:cs="Arial"/>
                <w:sz w:val="22"/>
                <w:szCs w:val="22"/>
              </w:rPr>
              <w:t>consent</w:t>
            </w:r>
          </w:p>
        </w:tc>
      </w:tr>
      <w:tr w:rsidR="00D42745" w14:paraId="12430559" w14:textId="77777777" w:rsidTr="00D42745">
        <w:tc>
          <w:tcPr>
            <w:tcW w:w="1951" w:type="dxa"/>
          </w:tcPr>
          <w:p w14:paraId="4D9AF11B" w14:textId="3CFBF2DA" w:rsidR="00D42745" w:rsidRDefault="00CA04C9">
            <w:pPr>
              <w:rPr>
                <w:rFonts w:ascii="Arial" w:hAnsi="Arial" w:cs="Arial"/>
                <w:sz w:val="22"/>
                <w:szCs w:val="22"/>
              </w:rPr>
            </w:pPr>
            <w:r>
              <w:rPr>
                <w:rFonts w:ascii="Arial" w:hAnsi="Arial" w:cs="Arial"/>
                <w:sz w:val="22"/>
                <w:szCs w:val="22"/>
              </w:rPr>
              <w:t>B</w:t>
            </w:r>
          </w:p>
        </w:tc>
        <w:tc>
          <w:tcPr>
            <w:tcW w:w="6379" w:type="dxa"/>
          </w:tcPr>
          <w:p w14:paraId="4C206802" w14:textId="007EFD9F" w:rsidR="00D42745" w:rsidRDefault="00CA04C9" w:rsidP="00F35900">
            <w:pPr>
              <w:rPr>
                <w:rFonts w:ascii="Arial" w:hAnsi="Arial" w:cs="Arial"/>
                <w:sz w:val="22"/>
                <w:szCs w:val="22"/>
              </w:rPr>
            </w:pPr>
            <w:r>
              <w:rPr>
                <w:rFonts w:ascii="Arial" w:hAnsi="Arial" w:cs="Arial"/>
                <w:sz w:val="22"/>
                <w:szCs w:val="22"/>
              </w:rPr>
              <w:t>Post</w:t>
            </w:r>
            <w:r w:rsidR="00837041">
              <w:rPr>
                <w:rFonts w:ascii="Arial" w:hAnsi="Arial" w:cs="Arial"/>
                <w:sz w:val="22"/>
                <w:szCs w:val="22"/>
              </w:rPr>
              <w:t>-m</w:t>
            </w:r>
            <w:r>
              <w:rPr>
                <w:rFonts w:ascii="Arial" w:hAnsi="Arial" w:cs="Arial"/>
                <w:sz w:val="22"/>
                <w:szCs w:val="22"/>
              </w:rPr>
              <w:t>ortem examination</w:t>
            </w:r>
          </w:p>
        </w:tc>
      </w:tr>
      <w:tr w:rsidR="00D42745" w14:paraId="53FF6A13" w14:textId="77777777" w:rsidTr="00D42745">
        <w:tc>
          <w:tcPr>
            <w:tcW w:w="1951" w:type="dxa"/>
          </w:tcPr>
          <w:p w14:paraId="3030DB09" w14:textId="2F8EEC01" w:rsidR="00D42745" w:rsidRDefault="00CA04C9">
            <w:pPr>
              <w:rPr>
                <w:rFonts w:ascii="Arial" w:hAnsi="Arial" w:cs="Arial"/>
                <w:sz w:val="22"/>
                <w:szCs w:val="22"/>
              </w:rPr>
            </w:pPr>
            <w:r>
              <w:rPr>
                <w:rFonts w:ascii="Arial" w:hAnsi="Arial" w:cs="Arial"/>
                <w:sz w:val="22"/>
                <w:szCs w:val="22"/>
              </w:rPr>
              <w:t>C</w:t>
            </w:r>
          </w:p>
        </w:tc>
        <w:tc>
          <w:tcPr>
            <w:tcW w:w="6379" w:type="dxa"/>
          </w:tcPr>
          <w:p w14:paraId="5D4FA87B" w14:textId="1900A99F" w:rsidR="00D42745" w:rsidRDefault="00F35900" w:rsidP="00F35900">
            <w:pPr>
              <w:rPr>
                <w:rFonts w:ascii="Arial" w:hAnsi="Arial" w:cs="Arial"/>
                <w:sz w:val="22"/>
                <w:szCs w:val="22"/>
              </w:rPr>
            </w:pPr>
            <w:r>
              <w:rPr>
                <w:rFonts w:ascii="Arial" w:hAnsi="Arial" w:cs="Arial"/>
                <w:sz w:val="22"/>
                <w:szCs w:val="22"/>
              </w:rPr>
              <w:t xml:space="preserve">Anatomical examination </w:t>
            </w:r>
          </w:p>
        </w:tc>
      </w:tr>
      <w:tr w:rsidR="00D42745" w14:paraId="7C2B535B" w14:textId="77777777" w:rsidTr="00D42745">
        <w:tc>
          <w:tcPr>
            <w:tcW w:w="1951" w:type="dxa"/>
          </w:tcPr>
          <w:p w14:paraId="08952A41" w14:textId="497808A3" w:rsidR="00D42745" w:rsidRDefault="00F35900">
            <w:pPr>
              <w:rPr>
                <w:rFonts w:ascii="Arial" w:hAnsi="Arial" w:cs="Arial"/>
                <w:sz w:val="22"/>
                <w:szCs w:val="22"/>
              </w:rPr>
            </w:pPr>
            <w:r>
              <w:rPr>
                <w:rFonts w:ascii="Arial" w:hAnsi="Arial" w:cs="Arial"/>
                <w:sz w:val="22"/>
                <w:szCs w:val="22"/>
              </w:rPr>
              <w:t>D</w:t>
            </w:r>
          </w:p>
        </w:tc>
        <w:tc>
          <w:tcPr>
            <w:tcW w:w="6379" w:type="dxa"/>
          </w:tcPr>
          <w:p w14:paraId="5D82C0CD" w14:textId="252E2C4B" w:rsidR="00D42745" w:rsidRDefault="00F35900">
            <w:pPr>
              <w:rPr>
                <w:rFonts w:ascii="Arial" w:hAnsi="Arial" w:cs="Arial"/>
                <w:sz w:val="22"/>
                <w:szCs w:val="22"/>
              </w:rPr>
            </w:pPr>
            <w:r>
              <w:rPr>
                <w:rFonts w:ascii="Arial" w:hAnsi="Arial" w:cs="Arial"/>
                <w:sz w:val="22"/>
                <w:szCs w:val="22"/>
              </w:rPr>
              <w:t xml:space="preserve">Public </w:t>
            </w:r>
            <w:r w:rsidR="00837041">
              <w:rPr>
                <w:rFonts w:ascii="Arial" w:hAnsi="Arial" w:cs="Arial"/>
                <w:sz w:val="22"/>
                <w:szCs w:val="22"/>
              </w:rPr>
              <w:t>D</w:t>
            </w:r>
            <w:r>
              <w:rPr>
                <w:rFonts w:ascii="Arial" w:hAnsi="Arial" w:cs="Arial"/>
                <w:sz w:val="22"/>
                <w:szCs w:val="22"/>
              </w:rPr>
              <w:t xml:space="preserve">isplay </w:t>
            </w:r>
          </w:p>
        </w:tc>
      </w:tr>
      <w:tr w:rsidR="00F35900" w14:paraId="5522ABDA" w14:textId="77777777" w:rsidTr="00D42745">
        <w:tc>
          <w:tcPr>
            <w:tcW w:w="1951" w:type="dxa"/>
          </w:tcPr>
          <w:p w14:paraId="32ECF90D" w14:textId="2E27A17D" w:rsidR="00F35900" w:rsidRDefault="00F35900" w:rsidP="00F35900">
            <w:pPr>
              <w:rPr>
                <w:rFonts w:ascii="Arial" w:hAnsi="Arial" w:cs="Arial"/>
                <w:sz w:val="22"/>
                <w:szCs w:val="22"/>
              </w:rPr>
            </w:pPr>
            <w:r>
              <w:rPr>
                <w:rFonts w:ascii="Arial" w:hAnsi="Arial" w:cs="Arial"/>
                <w:sz w:val="22"/>
                <w:szCs w:val="22"/>
              </w:rPr>
              <w:t xml:space="preserve">E </w:t>
            </w:r>
          </w:p>
        </w:tc>
        <w:tc>
          <w:tcPr>
            <w:tcW w:w="6379" w:type="dxa"/>
          </w:tcPr>
          <w:p w14:paraId="481B29E2" w14:textId="71145F3D" w:rsidR="00F35900" w:rsidRDefault="00F35900">
            <w:pPr>
              <w:rPr>
                <w:rFonts w:ascii="Arial" w:hAnsi="Arial" w:cs="Arial"/>
                <w:sz w:val="22"/>
                <w:szCs w:val="22"/>
              </w:rPr>
            </w:pPr>
            <w:r>
              <w:rPr>
                <w:rFonts w:ascii="Arial" w:hAnsi="Arial" w:cs="Arial"/>
                <w:sz w:val="22"/>
                <w:szCs w:val="22"/>
              </w:rPr>
              <w:t xml:space="preserve">Research </w:t>
            </w:r>
          </w:p>
        </w:tc>
      </w:tr>
      <w:tr w:rsidR="00D42745" w14:paraId="6170BA00" w14:textId="77777777" w:rsidTr="00D42745">
        <w:tc>
          <w:tcPr>
            <w:tcW w:w="1951" w:type="dxa"/>
          </w:tcPr>
          <w:p w14:paraId="2529D6ED" w14:textId="4327D654" w:rsidR="00D42745" w:rsidRDefault="00F35900">
            <w:pPr>
              <w:rPr>
                <w:rFonts w:ascii="Arial" w:hAnsi="Arial" w:cs="Arial"/>
                <w:sz w:val="22"/>
                <w:szCs w:val="22"/>
              </w:rPr>
            </w:pPr>
            <w:r>
              <w:rPr>
                <w:rFonts w:ascii="Arial" w:hAnsi="Arial" w:cs="Arial"/>
                <w:sz w:val="22"/>
                <w:szCs w:val="22"/>
              </w:rPr>
              <w:t>F</w:t>
            </w:r>
          </w:p>
        </w:tc>
        <w:tc>
          <w:tcPr>
            <w:tcW w:w="6379" w:type="dxa"/>
          </w:tcPr>
          <w:p w14:paraId="51270828" w14:textId="6A563DA3" w:rsidR="00D42745" w:rsidRDefault="00F35900" w:rsidP="00F35900">
            <w:pPr>
              <w:rPr>
                <w:rFonts w:ascii="Arial" w:hAnsi="Arial" w:cs="Arial"/>
                <w:sz w:val="22"/>
                <w:szCs w:val="22"/>
              </w:rPr>
            </w:pPr>
            <w:r>
              <w:rPr>
                <w:rFonts w:ascii="Arial" w:hAnsi="Arial" w:cs="Arial"/>
                <w:sz w:val="22"/>
                <w:szCs w:val="22"/>
              </w:rPr>
              <w:t xml:space="preserve">Donation of solid organs and tissue for transplantation </w:t>
            </w:r>
          </w:p>
        </w:tc>
      </w:tr>
      <w:tr w:rsidR="00D42745" w14:paraId="3DA19439" w14:textId="77777777" w:rsidTr="00D42745">
        <w:tc>
          <w:tcPr>
            <w:tcW w:w="1951" w:type="dxa"/>
          </w:tcPr>
          <w:p w14:paraId="3C9C792D" w14:textId="0987905A" w:rsidR="00D42745" w:rsidRDefault="00F35900" w:rsidP="00F35900">
            <w:pPr>
              <w:rPr>
                <w:rFonts w:ascii="Arial" w:hAnsi="Arial" w:cs="Arial"/>
                <w:sz w:val="22"/>
                <w:szCs w:val="22"/>
              </w:rPr>
            </w:pPr>
            <w:r>
              <w:rPr>
                <w:rFonts w:ascii="Arial" w:hAnsi="Arial" w:cs="Arial"/>
                <w:sz w:val="22"/>
                <w:szCs w:val="22"/>
              </w:rPr>
              <w:t>G</w:t>
            </w:r>
          </w:p>
        </w:tc>
        <w:tc>
          <w:tcPr>
            <w:tcW w:w="6379" w:type="dxa"/>
          </w:tcPr>
          <w:p w14:paraId="59E191C2" w14:textId="09B94FE4" w:rsidR="00D42745" w:rsidRDefault="00D42745" w:rsidP="00F35900">
            <w:pPr>
              <w:rPr>
                <w:rFonts w:ascii="Arial" w:hAnsi="Arial" w:cs="Arial"/>
                <w:sz w:val="22"/>
                <w:szCs w:val="22"/>
              </w:rPr>
            </w:pPr>
            <w:r>
              <w:rPr>
                <w:rFonts w:ascii="Arial" w:hAnsi="Arial" w:cs="Arial"/>
                <w:sz w:val="22"/>
                <w:szCs w:val="22"/>
              </w:rPr>
              <w:t xml:space="preserve">Donation of allogeneic bone marrow and peripheral blood stem cells </w:t>
            </w:r>
            <w:r w:rsidR="00F35900">
              <w:rPr>
                <w:rFonts w:ascii="Arial" w:hAnsi="Arial" w:cs="Arial"/>
                <w:sz w:val="22"/>
                <w:szCs w:val="22"/>
              </w:rPr>
              <w:t xml:space="preserve">(PBSCs) </w:t>
            </w:r>
            <w:r>
              <w:rPr>
                <w:rFonts w:ascii="Arial" w:hAnsi="Arial" w:cs="Arial"/>
                <w:sz w:val="22"/>
                <w:szCs w:val="22"/>
              </w:rPr>
              <w:t>for transplantation</w:t>
            </w:r>
            <w:r w:rsidR="00F35900">
              <w:rPr>
                <w:rFonts w:ascii="Arial" w:hAnsi="Arial" w:cs="Arial"/>
                <w:sz w:val="22"/>
                <w:szCs w:val="22"/>
              </w:rPr>
              <w:t xml:space="preserve"> </w:t>
            </w:r>
          </w:p>
        </w:tc>
      </w:tr>
      <w:tr w:rsidR="006B2FC9" w14:paraId="3BECEE1C" w14:textId="77777777" w:rsidTr="00D42745">
        <w:tc>
          <w:tcPr>
            <w:tcW w:w="1951" w:type="dxa"/>
          </w:tcPr>
          <w:p w14:paraId="1508373A" w14:textId="77777777" w:rsidR="006B2FC9" w:rsidRDefault="006B2FC9" w:rsidP="00F35900">
            <w:pPr>
              <w:rPr>
                <w:rFonts w:ascii="Arial" w:hAnsi="Arial" w:cs="Arial"/>
                <w:sz w:val="22"/>
                <w:szCs w:val="22"/>
              </w:rPr>
            </w:pPr>
          </w:p>
        </w:tc>
        <w:tc>
          <w:tcPr>
            <w:tcW w:w="6379" w:type="dxa"/>
          </w:tcPr>
          <w:p w14:paraId="773B605E" w14:textId="25E9C5BC" w:rsidR="006B2FC9" w:rsidRDefault="006B2FC9" w:rsidP="00F35900">
            <w:pPr>
              <w:rPr>
                <w:rFonts w:ascii="Arial" w:hAnsi="Arial" w:cs="Arial"/>
                <w:sz w:val="22"/>
                <w:szCs w:val="22"/>
              </w:rPr>
            </w:pPr>
            <w:r w:rsidRPr="006B2FC9">
              <w:rPr>
                <w:rFonts w:ascii="Arial" w:hAnsi="Arial" w:cs="Arial"/>
                <w:sz w:val="22"/>
                <w:szCs w:val="22"/>
              </w:rPr>
              <w:t>Human Transplantation (Wales) Act 2013</w:t>
            </w:r>
          </w:p>
        </w:tc>
      </w:tr>
    </w:tbl>
    <w:p w14:paraId="5C6C70CE" w14:textId="77777777" w:rsidR="00F20A17" w:rsidRDefault="00F20A17">
      <w:pPr>
        <w:rPr>
          <w:rFonts w:ascii="Arial" w:hAnsi="Arial" w:cs="Arial"/>
          <w:b/>
        </w:rPr>
      </w:pPr>
    </w:p>
    <w:p w14:paraId="4730817A" w14:textId="77777777" w:rsidR="00CD3719" w:rsidRDefault="00CD3719">
      <w:pPr>
        <w:rPr>
          <w:rFonts w:ascii="Arial" w:hAnsi="Arial" w:cs="Arial"/>
          <w:b/>
        </w:rPr>
      </w:pPr>
    </w:p>
    <w:p w14:paraId="32292219" w14:textId="668F331F" w:rsidR="00EE2BC2" w:rsidRDefault="00CD3719" w:rsidP="00CD3719">
      <w:pPr>
        <w:jc w:val="both"/>
        <w:rPr>
          <w:rFonts w:ascii="Arial" w:hAnsi="Arial" w:cs="Arial"/>
          <w:sz w:val="22"/>
          <w:szCs w:val="22"/>
        </w:rPr>
      </w:pPr>
      <w:r w:rsidRPr="00CD3719">
        <w:rPr>
          <w:rFonts w:ascii="Arial" w:hAnsi="Arial" w:cs="Arial"/>
          <w:sz w:val="22"/>
          <w:szCs w:val="22"/>
        </w:rPr>
        <w:t>The HTA’s existence and approach are founded on four guiding principles. These</w:t>
      </w:r>
      <w:r>
        <w:rPr>
          <w:rFonts w:ascii="Arial" w:hAnsi="Arial" w:cs="Arial"/>
          <w:sz w:val="22"/>
          <w:szCs w:val="22"/>
        </w:rPr>
        <w:t xml:space="preserve"> </w:t>
      </w:r>
      <w:r w:rsidRPr="00CD3719">
        <w:rPr>
          <w:rFonts w:ascii="Arial" w:hAnsi="Arial" w:cs="Arial"/>
          <w:sz w:val="22"/>
          <w:szCs w:val="22"/>
        </w:rPr>
        <w:t>principles are derived from the HT Act, explicitly or implicitly, and actively inform</w:t>
      </w:r>
      <w:r w:rsidR="00DD1617">
        <w:rPr>
          <w:rFonts w:ascii="Arial" w:hAnsi="Arial" w:cs="Arial"/>
          <w:sz w:val="22"/>
          <w:szCs w:val="22"/>
        </w:rPr>
        <w:t xml:space="preserve"> </w:t>
      </w:r>
      <w:r w:rsidR="008C3EF5">
        <w:rPr>
          <w:rFonts w:ascii="Arial" w:hAnsi="Arial" w:cs="Arial"/>
          <w:sz w:val="22"/>
          <w:szCs w:val="22"/>
        </w:rPr>
        <w:t>t</w:t>
      </w:r>
      <w:r>
        <w:rPr>
          <w:rFonts w:ascii="Arial" w:hAnsi="Arial" w:cs="Arial"/>
          <w:sz w:val="22"/>
          <w:szCs w:val="22"/>
        </w:rPr>
        <w:t>he HTA’s</w:t>
      </w:r>
      <w:r w:rsidRPr="00CD3719">
        <w:rPr>
          <w:rFonts w:ascii="Arial" w:hAnsi="Arial" w:cs="Arial"/>
          <w:sz w:val="22"/>
          <w:szCs w:val="22"/>
        </w:rPr>
        <w:t xml:space="preserve"> overall approach to regulation, Codes of </w:t>
      </w:r>
      <w:proofErr w:type="gramStart"/>
      <w:r w:rsidRPr="00CD3719">
        <w:rPr>
          <w:rFonts w:ascii="Arial" w:hAnsi="Arial" w:cs="Arial"/>
          <w:sz w:val="22"/>
          <w:szCs w:val="22"/>
        </w:rPr>
        <w:t>Practice</w:t>
      </w:r>
      <w:proofErr w:type="gramEnd"/>
      <w:r w:rsidRPr="00CD3719">
        <w:rPr>
          <w:rFonts w:ascii="Arial" w:hAnsi="Arial" w:cs="Arial"/>
          <w:sz w:val="22"/>
          <w:szCs w:val="22"/>
        </w:rPr>
        <w:t xml:space="preserve"> and licensing</w:t>
      </w:r>
      <w:r>
        <w:rPr>
          <w:rFonts w:ascii="Arial" w:hAnsi="Arial" w:cs="Arial"/>
          <w:sz w:val="22"/>
          <w:szCs w:val="22"/>
        </w:rPr>
        <w:t xml:space="preserve"> </w:t>
      </w:r>
      <w:r w:rsidR="008C3EF5">
        <w:rPr>
          <w:rFonts w:ascii="Arial" w:hAnsi="Arial" w:cs="Arial"/>
          <w:sz w:val="22"/>
          <w:szCs w:val="22"/>
        </w:rPr>
        <w:t>s</w:t>
      </w:r>
      <w:r w:rsidRPr="00CD3719">
        <w:rPr>
          <w:rFonts w:ascii="Arial" w:hAnsi="Arial" w:cs="Arial"/>
          <w:sz w:val="22"/>
          <w:szCs w:val="22"/>
        </w:rPr>
        <w:t xml:space="preserve">tandards. </w:t>
      </w:r>
      <w:r w:rsidR="00004A39">
        <w:rPr>
          <w:rFonts w:ascii="Arial" w:hAnsi="Arial" w:cs="Arial"/>
          <w:sz w:val="22"/>
          <w:szCs w:val="22"/>
        </w:rPr>
        <w:t>T</w:t>
      </w:r>
      <w:r w:rsidRPr="00CD3719">
        <w:rPr>
          <w:rFonts w:ascii="Arial" w:hAnsi="Arial" w:cs="Arial"/>
          <w:sz w:val="22"/>
          <w:szCs w:val="22"/>
        </w:rPr>
        <w:t>he principles should inform the actions of</w:t>
      </w:r>
      <w:r w:rsidR="00004A39">
        <w:rPr>
          <w:rFonts w:ascii="Arial" w:hAnsi="Arial" w:cs="Arial"/>
          <w:sz w:val="22"/>
          <w:szCs w:val="22"/>
        </w:rPr>
        <w:t xml:space="preserve"> </w:t>
      </w:r>
      <w:r w:rsidRPr="00CD3719">
        <w:rPr>
          <w:rFonts w:ascii="Arial" w:hAnsi="Arial" w:cs="Arial"/>
          <w:sz w:val="22"/>
          <w:szCs w:val="22"/>
        </w:rPr>
        <w:t>anyone involved in using materials originating from people, and therefore anyone</w:t>
      </w:r>
      <w:r>
        <w:rPr>
          <w:rFonts w:ascii="Arial" w:hAnsi="Arial" w:cs="Arial"/>
          <w:sz w:val="22"/>
          <w:szCs w:val="22"/>
        </w:rPr>
        <w:t xml:space="preserve"> </w:t>
      </w:r>
      <w:r w:rsidRPr="00CD3719">
        <w:rPr>
          <w:rFonts w:ascii="Arial" w:hAnsi="Arial" w:cs="Arial"/>
          <w:sz w:val="22"/>
          <w:szCs w:val="22"/>
        </w:rPr>
        <w:t>undertaking activities falling within the remit of the HTA must give them due</w:t>
      </w:r>
      <w:r w:rsidR="00EE2BC2">
        <w:rPr>
          <w:rFonts w:ascii="Arial" w:hAnsi="Arial" w:cs="Arial"/>
          <w:sz w:val="22"/>
          <w:szCs w:val="22"/>
        </w:rPr>
        <w:t xml:space="preserve"> </w:t>
      </w:r>
      <w:r w:rsidRPr="00CD3719">
        <w:rPr>
          <w:rFonts w:ascii="Arial" w:hAnsi="Arial" w:cs="Arial"/>
          <w:sz w:val="22"/>
          <w:szCs w:val="22"/>
        </w:rPr>
        <w:t>regard. Where the principles refer to tissue, they apply equally to entire organs.</w:t>
      </w:r>
      <w:r w:rsidR="00EE2BC2">
        <w:rPr>
          <w:rFonts w:ascii="Arial" w:hAnsi="Arial" w:cs="Arial"/>
          <w:sz w:val="22"/>
          <w:szCs w:val="22"/>
        </w:rPr>
        <w:t xml:space="preserve"> </w:t>
      </w:r>
    </w:p>
    <w:p w14:paraId="6F0DD612" w14:textId="77777777" w:rsidR="00EE2BC2" w:rsidRDefault="00EE2BC2" w:rsidP="00CD3719">
      <w:pPr>
        <w:jc w:val="both"/>
        <w:rPr>
          <w:rFonts w:ascii="Arial" w:hAnsi="Arial" w:cs="Arial"/>
          <w:sz w:val="22"/>
          <w:szCs w:val="22"/>
        </w:rPr>
      </w:pPr>
    </w:p>
    <w:p w14:paraId="00DA6B33" w14:textId="3E86BEFC" w:rsidR="00CD3719" w:rsidRDefault="00EE2BC2" w:rsidP="00CD3719">
      <w:pPr>
        <w:jc w:val="both"/>
        <w:rPr>
          <w:rFonts w:ascii="Arial" w:hAnsi="Arial" w:cs="Arial"/>
          <w:sz w:val="22"/>
          <w:szCs w:val="22"/>
        </w:rPr>
      </w:pPr>
      <w:r>
        <w:rPr>
          <w:rFonts w:ascii="Arial" w:hAnsi="Arial" w:cs="Arial"/>
          <w:sz w:val="22"/>
          <w:szCs w:val="22"/>
        </w:rPr>
        <w:t>The Guiding principles</w:t>
      </w:r>
      <w:r w:rsidR="008141D1">
        <w:rPr>
          <w:rFonts w:ascii="Arial" w:hAnsi="Arial" w:cs="Arial"/>
          <w:sz w:val="22"/>
          <w:szCs w:val="22"/>
        </w:rPr>
        <w:t xml:space="preserve"> are listed below</w:t>
      </w:r>
      <w:r>
        <w:rPr>
          <w:rFonts w:ascii="Arial" w:hAnsi="Arial" w:cs="Arial"/>
          <w:sz w:val="22"/>
          <w:szCs w:val="22"/>
        </w:rPr>
        <w:t xml:space="preserve"> and further information</w:t>
      </w:r>
      <w:r w:rsidR="008141D1">
        <w:rPr>
          <w:rFonts w:ascii="Arial" w:hAnsi="Arial" w:cs="Arial"/>
          <w:sz w:val="22"/>
          <w:szCs w:val="22"/>
        </w:rPr>
        <w:t xml:space="preserve"> about them is</w:t>
      </w:r>
      <w:r>
        <w:rPr>
          <w:rFonts w:ascii="Arial" w:hAnsi="Arial" w:cs="Arial"/>
          <w:sz w:val="22"/>
          <w:szCs w:val="22"/>
        </w:rPr>
        <w:t xml:space="preserve"> available in Code of Practice A:</w:t>
      </w:r>
    </w:p>
    <w:p w14:paraId="564F4457" w14:textId="77777777" w:rsidR="00EE2BC2" w:rsidRPr="00EE2BC2" w:rsidRDefault="00EE2BC2" w:rsidP="00EE2BC2">
      <w:pPr>
        <w:pStyle w:val="ListParagraph"/>
        <w:numPr>
          <w:ilvl w:val="0"/>
          <w:numId w:val="49"/>
        </w:numPr>
        <w:jc w:val="both"/>
        <w:rPr>
          <w:rFonts w:cs="Arial"/>
          <w:sz w:val="22"/>
          <w:szCs w:val="22"/>
        </w:rPr>
      </w:pPr>
      <w:r w:rsidRPr="00EE2BC2">
        <w:rPr>
          <w:rFonts w:cs="Arial"/>
          <w:sz w:val="22"/>
          <w:szCs w:val="22"/>
        </w:rPr>
        <w:t>consent</w:t>
      </w:r>
    </w:p>
    <w:p w14:paraId="39FD9C04" w14:textId="77777777" w:rsidR="00EE2BC2" w:rsidRPr="00EE2BC2" w:rsidRDefault="00EE2BC2" w:rsidP="00EE2BC2">
      <w:pPr>
        <w:pStyle w:val="ListParagraph"/>
        <w:numPr>
          <w:ilvl w:val="0"/>
          <w:numId w:val="49"/>
        </w:numPr>
        <w:jc w:val="both"/>
        <w:rPr>
          <w:rFonts w:cs="Arial"/>
          <w:sz w:val="22"/>
          <w:szCs w:val="22"/>
        </w:rPr>
      </w:pPr>
      <w:r w:rsidRPr="00EE2BC2">
        <w:rPr>
          <w:rFonts w:cs="Arial"/>
          <w:sz w:val="22"/>
          <w:szCs w:val="22"/>
        </w:rPr>
        <w:t>dignity</w:t>
      </w:r>
    </w:p>
    <w:p w14:paraId="515725A9" w14:textId="77777777" w:rsidR="00EE2BC2" w:rsidRPr="00EE2BC2" w:rsidRDefault="00EE2BC2" w:rsidP="00EE2BC2">
      <w:pPr>
        <w:pStyle w:val="ListParagraph"/>
        <w:numPr>
          <w:ilvl w:val="0"/>
          <w:numId w:val="49"/>
        </w:numPr>
        <w:jc w:val="both"/>
        <w:rPr>
          <w:rFonts w:cs="Arial"/>
          <w:sz w:val="22"/>
          <w:szCs w:val="22"/>
        </w:rPr>
      </w:pPr>
      <w:r w:rsidRPr="00EE2BC2">
        <w:rPr>
          <w:rFonts w:cs="Arial"/>
          <w:sz w:val="22"/>
          <w:szCs w:val="22"/>
        </w:rPr>
        <w:t>quality</w:t>
      </w:r>
    </w:p>
    <w:p w14:paraId="174CA6EE" w14:textId="77777777" w:rsidR="00EE2BC2" w:rsidRPr="00EE2BC2" w:rsidRDefault="00EE2BC2" w:rsidP="00EE2BC2">
      <w:pPr>
        <w:pStyle w:val="ListParagraph"/>
        <w:numPr>
          <w:ilvl w:val="0"/>
          <w:numId w:val="49"/>
        </w:numPr>
        <w:jc w:val="both"/>
        <w:rPr>
          <w:rFonts w:cs="Arial"/>
          <w:sz w:val="22"/>
          <w:szCs w:val="22"/>
        </w:rPr>
      </w:pPr>
      <w:r w:rsidRPr="00EE2BC2">
        <w:rPr>
          <w:rFonts w:cs="Arial"/>
          <w:sz w:val="22"/>
          <w:szCs w:val="22"/>
        </w:rPr>
        <w:t>honesty and openness</w:t>
      </w:r>
    </w:p>
    <w:p w14:paraId="647B114C" w14:textId="77777777" w:rsidR="00E7476F" w:rsidRDefault="00E7476F" w:rsidP="00D42745">
      <w:pPr>
        <w:numPr>
          <w:ilvl w:val="1"/>
          <w:numId w:val="1"/>
        </w:numPr>
        <w:rPr>
          <w:rFonts w:ascii="Arial" w:hAnsi="Arial" w:cs="Arial"/>
          <w:b/>
        </w:rPr>
      </w:pPr>
      <w:r>
        <w:rPr>
          <w:rFonts w:ascii="Arial" w:hAnsi="Arial" w:cs="Arial"/>
          <w:b/>
        </w:rPr>
        <w:t>Stem Cells</w:t>
      </w:r>
    </w:p>
    <w:p w14:paraId="60538A5E" w14:textId="77777777" w:rsidR="000B4381" w:rsidRDefault="000B4381" w:rsidP="000B4381">
      <w:pPr>
        <w:rPr>
          <w:rFonts w:ascii="Arial" w:hAnsi="Arial" w:cs="Arial"/>
          <w:sz w:val="22"/>
          <w:szCs w:val="22"/>
        </w:rPr>
      </w:pPr>
    </w:p>
    <w:p w14:paraId="4B2C07F3" w14:textId="1263BB3F" w:rsidR="0060372D" w:rsidRDefault="0060372D" w:rsidP="00740BD7">
      <w:pPr>
        <w:jc w:val="both"/>
        <w:rPr>
          <w:rFonts w:ascii="Arial" w:hAnsi="Arial" w:cs="Arial"/>
          <w:sz w:val="22"/>
          <w:szCs w:val="22"/>
        </w:rPr>
      </w:pPr>
      <w:r>
        <w:rPr>
          <w:rFonts w:ascii="Arial" w:hAnsi="Arial" w:cs="Arial"/>
          <w:sz w:val="22"/>
          <w:szCs w:val="22"/>
        </w:rPr>
        <w:t xml:space="preserve">If you intend to work with human stem cells </w:t>
      </w:r>
      <w:r w:rsidR="00B33A2C" w:rsidRPr="009340F5">
        <w:rPr>
          <w:rFonts w:ascii="Arial" w:hAnsi="Arial" w:cs="Arial"/>
          <w:sz w:val="22"/>
          <w:szCs w:val="22"/>
        </w:rPr>
        <w:t xml:space="preserve">the Research </w:t>
      </w:r>
      <w:r w:rsidR="00B33A2C">
        <w:rPr>
          <w:rFonts w:ascii="Arial" w:hAnsi="Arial" w:cs="Arial"/>
          <w:sz w:val="22"/>
          <w:szCs w:val="22"/>
        </w:rPr>
        <w:t>and Human Tissue Manager</w:t>
      </w:r>
      <w:r w:rsidR="00B33A2C" w:rsidRPr="009340F5">
        <w:rPr>
          <w:rFonts w:ascii="Arial" w:hAnsi="Arial" w:cs="Arial"/>
          <w:sz w:val="22"/>
          <w:szCs w:val="22"/>
        </w:rPr>
        <w:t xml:space="preserve"> </w:t>
      </w:r>
      <w:r w:rsidR="00B33A2C">
        <w:rPr>
          <w:rFonts w:ascii="Arial" w:hAnsi="Arial" w:cs="Arial"/>
          <w:sz w:val="22"/>
          <w:szCs w:val="22"/>
        </w:rPr>
        <w:t>should be contacted for advice.</w:t>
      </w:r>
    </w:p>
    <w:p w14:paraId="38E33D97" w14:textId="77777777" w:rsidR="000B4381" w:rsidRPr="007D0C13" w:rsidRDefault="000B4381" w:rsidP="000B4381">
      <w:pPr>
        <w:jc w:val="both"/>
        <w:rPr>
          <w:rFonts w:ascii="Arial" w:hAnsi="Arial" w:cs="Arial"/>
          <w:sz w:val="22"/>
          <w:szCs w:val="22"/>
        </w:rPr>
      </w:pPr>
    </w:p>
    <w:p w14:paraId="00BE9E4E" w14:textId="77777777" w:rsidR="000B4381" w:rsidRDefault="00933505" w:rsidP="00D42745">
      <w:pPr>
        <w:numPr>
          <w:ilvl w:val="1"/>
          <w:numId w:val="1"/>
        </w:numPr>
        <w:rPr>
          <w:rFonts w:ascii="Arial" w:hAnsi="Arial" w:cs="Arial"/>
          <w:b/>
        </w:rPr>
      </w:pPr>
      <w:r>
        <w:rPr>
          <w:rFonts w:ascii="Arial" w:hAnsi="Arial" w:cs="Arial"/>
          <w:b/>
        </w:rPr>
        <w:t xml:space="preserve">HFEA </w:t>
      </w:r>
    </w:p>
    <w:p w14:paraId="2BCBBEA6" w14:textId="77777777" w:rsidR="00A50208" w:rsidRDefault="00A50208">
      <w:pPr>
        <w:rPr>
          <w:rFonts w:ascii="Arial" w:hAnsi="Arial" w:cs="Arial"/>
        </w:rPr>
      </w:pPr>
    </w:p>
    <w:p w14:paraId="425DB581" w14:textId="3DF4B3AF" w:rsidR="00A50208" w:rsidRPr="00A5581D" w:rsidRDefault="00A50208" w:rsidP="00A5581D">
      <w:pPr>
        <w:jc w:val="both"/>
        <w:rPr>
          <w:rFonts w:ascii="Arial" w:hAnsi="Arial" w:cs="Arial"/>
          <w:sz w:val="22"/>
        </w:rPr>
      </w:pPr>
      <w:r w:rsidRPr="00A5581D">
        <w:rPr>
          <w:rFonts w:ascii="Arial" w:hAnsi="Arial" w:cs="Arial"/>
          <w:sz w:val="22"/>
        </w:rPr>
        <w:t xml:space="preserve">If you intend to work with </w:t>
      </w:r>
      <w:r w:rsidR="00DC141D">
        <w:rPr>
          <w:rFonts w:ascii="Arial" w:hAnsi="Arial" w:cs="Arial"/>
          <w:sz w:val="22"/>
        </w:rPr>
        <w:t xml:space="preserve">human </w:t>
      </w:r>
      <w:r w:rsidRPr="00A5581D">
        <w:rPr>
          <w:rFonts w:ascii="Arial" w:hAnsi="Arial" w:cs="Arial"/>
          <w:sz w:val="22"/>
        </w:rPr>
        <w:t>g</w:t>
      </w:r>
      <w:r w:rsidRPr="00A5581D">
        <w:rPr>
          <w:rFonts w:ascii="Arial" w:hAnsi="Arial" w:cs="Arial"/>
          <w:color w:val="000000"/>
          <w:sz w:val="22"/>
          <w:shd w:val="clear" w:color="auto" w:fill="FFFFFF"/>
        </w:rPr>
        <w:t>ametes (</w:t>
      </w:r>
      <w:r w:rsidR="00DC141D">
        <w:rPr>
          <w:rFonts w:ascii="Arial" w:hAnsi="Arial" w:cs="Arial"/>
          <w:color w:val="000000"/>
          <w:sz w:val="22"/>
          <w:shd w:val="clear" w:color="auto" w:fill="FFFFFF"/>
        </w:rPr>
        <w:t>ova or spermatozoa</w:t>
      </w:r>
      <w:r w:rsidRPr="00A5581D">
        <w:rPr>
          <w:rFonts w:ascii="Arial" w:hAnsi="Arial" w:cs="Arial"/>
          <w:color w:val="000000"/>
          <w:sz w:val="22"/>
          <w:shd w:val="clear" w:color="auto" w:fill="FFFFFF"/>
        </w:rPr>
        <w:t xml:space="preserve">) or embryos (outside the body), while outside the definition of </w:t>
      </w:r>
      <w:r w:rsidR="00F72BF0">
        <w:rPr>
          <w:rFonts w:ascii="Arial" w:hAnsi="Arial" w:cs="Arial"/>
          <w:color w:val="000000"/>
          <w:sz w:val="22"/>
          <w:shd w:val="clear" w:color="auto" w:fill="FFFFFF"/>
        </w:rPr>
        <w:t>R</w:t>
      </w:r>
      <w:r w:rsidRPr="00A5581D">
        <w:rPr>
          <w:rFonts w:ascii="Arial" w:hAnsi="Arial" w:cs="Arial"/>
          <w:color w:val="000000"/>
          <w:sz w:val="22"/>
          <w:shd w:val="clear" w:color="auto" w:fill="FFFFFF"/>
        </w:rPr>
        <w:t xml:space="preserve">elevant </w:t>
      </w:r>
      <w:r w:rsidR="00F72BF0">
        <w:rPr>
          <w:rFonts w:ascii="Arial" w:hAnsi="Arial" w:cs="Arial"/>
          <w:color w:val="000000"/>
          <w:sz w:val="22"/>
          <w:shd w:val="clear" w:color="auto" w:fill="FFFFFF"/>
        </w:rPr>
        <w:t>M</w:t>
      </w:r>
      <w:r w:rsidR="00F72BF0" w:rsidRPr="00A5581D">
        <w:rPr>
          <w:rFonts w:ascii="Arial" w:hAnsi="Arial" w:cs="Arial"/>
          <w:color w:val="000000"/>
          <w:sz w:val="22"/>
          <w:shd w:val="clear" w:color="auto" w:fill="FFFFFF"/>
        </w:rPr>
        <w:t xml:space="preserve">aterial </w:t>
      </w:r>
      <w:r w:rsidRPr="00A5581D">
        <w:rPr>
          <w:rFonts w:ascii="Arial" w:hAnsi="Arial" w:cs="Arial"/>
          <w:color w:val="000000"/>
          <w:sz w:val="22"/>
          <w:shd w:val="clear" w:color="auto" w:fill="FFFFFF"/>
        </w:rPr>
        <w:t xml:space="preserve">for the purposes of the Human Tissue Act 2004, these materials fall within the remit of the Human Fertilisation and Embryology Act </w:t>
      </w:r>
      <w:r w:rsidR="00A014F5" w:rsidRPr="00A5581D">
        <w:rPr>
          <w:rFonts w:ascii="Arial" w:hAnsi="Arial" w:cs="Arial"/>
          <w:color w:val="000000"/>
          <w:sz w:val="22"/>
          <w:shd w:val="clear" w:color="auto" w:fill="FFFFFF"/>
        </w:rPr>
        <w:t>1990 and</w:t>
      </w:r>
      <w:r w:rsidRPr="00A5581D">
        <w:rPr>
          <w:rFonts w:ascii="Arial" w:hAnsi="Arial" w:cs="Arial"/>
          <w:color w:val="000000"/>
          <w:sz w:val="22"/>
          <w:shd w:val="clear" w:color="auto" w:fill="FFFFFF"/>
        </w:rPr>
        <w:t xml:space="preserve"> are regulated by the Human Fertilisation and Embryology Authority (HFEA)</w:t>
      </w:r>
      <w:r w:rsidR="008141D1" w:rsidRPr="00A014F5">
        <w:rPr>
          <w:color w:val="000000"/>
        </w:rPr>
        <w:t>.</w:t>
      </w:r>
      <w:r w:rsidR="008141D1" w:rsidRPr="00A014F5">
        <w:rPr>
          <w:rFonts w:ascii="Arial" w:hAnsi="Arial" w:cs="Arial"/>
          <w:color w:val="000000"/>
          <w:sz w:val="22"/>
          <w:shd w:val="clear" w:color="auto" w:fill="FFFFFF"/>
        </w:rPr>
        <w:t xml:space="preserve"> You should refer</w:t>
      </w:r>
      <w:r w:rsidR="001B4353" w:rsidRPr="00A014F5">
        <w:rPr>
          <w:rFonts w:ascii="Arial" w:hAnsi="Arial" w:cs="Arial"/>
          <w:color w:val="000000"/>
          <w:sz w:val="22"/>
          <w:shd w:val="clear" w:color="auto" w:fill="FFFFFF"/>
        </w:rPr>
        <w:t xml:space="preserve"> to, and comply with, the </w:t>
      </w:r>
      <w:hyperlink r:id="rId16" w:history="1">
        <w:r w:rsidR="001B4353" w:rsidRPr="00A014F5">
          <w:rPr>
            <w:rStyle w:val="Hyperlink"/>
            <w:rFonts w:ascii="Arial" w:hAnsi="Arial" w:cs="Arial"/>
            <w:sz w:val="22"/>
            <w:shd w:val="clear" w:color="auto" w:fill="FFFFFF"/>
          </w:rPr>
          <w:t>H</w:t>
        </w:r>
        <w:r w:rsidR="001B4353" w:rsidRPr="00A014F5">
          <w:rPr>
            <w:rStyle w:val="Hyperlink"/>
            <w:rFonts w:ascii="Arial" w:hAnsi="Arial" w:cs="Arial"/>
            <w:sz w:val="22"/>
            <w:shd w:val="clear" w:color="auto" w:fill="FFFFFF"/>
          </w:rPr>
          <w:t>F</w:t>
        </w:r>
        <w:r w:rsidR="001B4353" w:rsidRPr="00A014F5">
          <w:rPr>
            <w:rStyle w:val="Hyperlink"/>
            <w:rFonts w:ascii="Arial" w:hAnsi="Arial" w:cs="Arial"/>
            <w:sz w:val="22"/>
            <w:shd w:val="clear" w:color="auto" w:fill="FFFFFF"/>
          </w:rPr>
          <w:t>EA Code of Pra</w:t>
        </w:r>
        <w:r w:rsidR="001B4353" w:rsidRPr="00A014F5">
          <w:rPr>
            <w:rStyle w:val="Hyperlink"/>
            <w:rFonts w:ascii="Arial" w:hAnsi="Arial" w:cs="Arial"/>
            <w:sz w:val="22"/>
            <w:shd w:val="clear" w:color="auto" w:fill="FFFFFF"/>
          </w:rPr>
          <w:t>c</w:t>
        </w:r>
        <w:r w:rsidR="001B4353" w:rsidRPr="00A014F5">
          <w:rPr>
            <w:rStyle w:val="Hyperlink"/>
            <w:rFonts w:ascii="Arial" w:hAnsi="Arial" w:cs="Arial"/>
            <w:sz w:val="22"/>
            <w:shd w:val="clear" w:color="auto" w:fill="FFFFFF"/>
          </w:rPr>
          <w:t>tice</w:t>
        </w:r>
      </w:hyperlink>
      <w:r w:rsidR="001B4353" w:rsidRPr="00A014F5">
        <w:rPr>
          <w:rFonts w:ascii="Arial" w:hAnsi="Arial" w:cs="Arial"/>
          <w:color w:val="000000"/>
          <w:sz w:val="22"/>
          <w:shd w:val="clear" w:color="auto" w:fill="FFFFFF"/>
        </w:rPr>
        <w:t>.</w:t>
      </w:r>
      <w:r w:rsidR="008141D1" w:rsidRPr="00A014F5">
        <w:rPr>
          <w:rFonts w:ascii="Arial" w:hAnsi="Arial" w:cs="Arial"/>
          <w:color w:val="000000"/>
          <w:sz w:val="22"/>
          <w:shd w:val="clear" w:color="auto" w:fill="FFFFFF"/>
        </w:rPr>
        <w:t xml:space="preserve"> Please contact the </w:t>
      </w:r>
      <w:r w:rsidR="008141D1" w:rsidRPr="00A014F5">
        <w:rPr>
          <w:rFonts w:ascii="Arial" w:hAnsi="Arial" w:cs="Arial"/>
          <w:color w:val="000000"/>
          <w:sz w:val="22"/>
          <w:shd w:val="clear" w:color="auto" w:fill="FFFFFF"/>
        </w:rPr>
        <w:t>Research</w:t>
      </w:r>
      <w:r w:rsidR="008141D1" w:rsidRPr="009340F5">
        <w:rPr>
          <w:rFonts w:ascii="Arial" w:hAnsi="Arial" w:cs="Arial"/>
          <w:sz w:val="22"/>
          <w:szCs w:val="22"/>
        </w:rPr>
        <w:t xml:space="preserve"> </w:t>
      </w:r>
      <w:r w:rsidR="008141D1">
        <w:rPr>
          <w:rFonts w:ascii="Arial" w:hAnsi="Arial" w:cs="Arial"/>
          <w:sz w:val="22"/>
          <w:szCs w:val="22"/>
        </w:rPr>
        <w:t>and Human Tissue Manager</w:t>
      </w:r>
      <w:r w:rsidR="008141D1" w:rsidRPr="009340F5">
        <w:rPr>
          <w:rFonts w:ascii="Arial" w:hAnsi="Arial" w:cs="Arial"/>
          <w:sz w:val="22"/>
          <w:szCs w:val="22"/>
        </w:rPr>
        <w:t xml:space="preserve"> </w:t>
      </w:r>
      <w:r w:rsidR="008141D1">
        <w:rPr>
          <w:rFonts w:ascii="Arial" w:hAnsi="Arial" w:cs="Arial"/>
          <w:sz w:val="22"/>
          <w:szCs w:val="22"/>
        </w:rPr>
        <w:t>for advice.</w:t>
      </w:r>
      <w:r w:rsidR="009E7F00">
        <w:rPr>
          <w:rFonts w:ascii="Arial" w:hAnsi="Arial" w:cs="Arial"/>
          <w:color w:val="000000"/>
          <w:sz w:val="22"/>
          <w:shd w:val="clear" w:color="auto" w:fill="FFFFFF"/>
        </w:rPr>
        <w:t xml:space="preserve"> </w:t>
      </w:r>
    </w:p>
    <w:p w14:paraId="2008FAFB" w14:textId="77777777" w:rsidR="00A50208" w:rsidRDefault="00A50208">
      <w:pPr>
        <w:rPr>
          <w:rFonts w:ascii="Arial" w:hAnsi="Arial" w:cs="Arial"/>
          <w:b/>
        </w:rPr>
      </w:pPr>
    </w:p>
    <w:p w14:paraId="458075D0" w14:textId="77777777" w:rsidR="00F20A17" w:rsidRPr="005D0531" w:rsidRDefault="00F20A17" w:rsidP="005D0531">
      <w:pPr>
        <w:pStyle w:val="Heading1"/>
        <w:numPr>
          <w:ilvl w:val="0"/>
          <w:numId w:val="41"/>
        </w:numPr>
        <w:jc w:val="left"/>
        <w:rPr>
          <w:bCs w:val="0"/>
        </w:rPr>
      </w:pPr>
      <w:bookmarkStart w:id="6" w:name="_Toc417640709"/>
      <w:bookmarkStart w:id="7" w:name="_Toc417640763"/>
      <w:r w:rsidRPr="005D0531">
        <w:rPr>
          <w:bCs w:val="0"/>
        </w:rPr>
        <w:t xml:space="preserve">University </w:t>
      </w:r>
      <w:r w:rsidR="001B0E03" w:rsidRPr="005D0531">
        <w:rPr>
          <w:bCs w:val="0"/>
        </w:rPr>
        <w:t>arrangements</w:t>
      </w:r>
      <w:r w:rsidR="00933505" w:rsidRPr="005D0531">
        <w:rPr>
          <w:bCs w:val="0"/>
        </w:rPr>
        <w:t xml:space="preserve"> for compliance with HT Act</w:t>
      </w:r>
      <w:bookmarkEnd w:id="6"/>
      <w:bookmarkEnd w:id="7"/>
    </w:p>
    <w:p w14:paraId="6C347BAF" w14:textId="77777777" w:rsidR="00F20A17" w:rsidRDefault="00F20A17">
      <w:pPr>
        <w:rPr>
          <w:rFonts w:ascii="Arial" w:hAnsi="Arial" w:cs="Arial"/>
          <w:u w:val="single"/>
        </w:rPr>
      </w:pPr>
    </w:p>
    <w:p w14:paraId="3479E196" w14:textId="77777777" w:rsidR="001B0E03" w:rsidRPr="001B0E03" w:rsidRDefault="001B0E03" w:rsidP="001B0E03">
      <w:pPr>
        <w:numPr>
          <w:ilvl w:val="0"/>
          <w:numId w:val="7"/>
        </w:numPr>
        <w:rPr>
          <w:rFonts w:ascii="Arial" w:hAnsi="Arial" w:cs="Arial"/>
          <w:b/>
        </w:rPr>
      </w:pPr>
      <w:r w:rsidRPr="001B0E03">
        <w:rPr>
          <w:rFonts w:ascii="Arial" w:hAnsi="Arial" w:cs="Arial"/>
          <w:b/>
        </w:rPr>
        <w:t>HTA licences</w:t>
      </w:r>
    </w:p>
    <w:p w14:paraId="42CFF875" w14:textId="0810CE36" w:rsidR="00F20A17" w:rsidRDefault="00F20A17" w:rsidP="00740BD7">
      <w:pPr>
        <w:jc w:val="both"/>
        <w:rPr>
          <w:rFonts w:ascii="Arial" w:hAnsi="Arial" w:cs="Arial"/>
          <w:sz w:val="22"/>
          <w:szCs w:val="22"/>
        </w:rPr>
      </w:pPr>
      <w:r>
        <w:rPr>
          <w:rFonts w:ascii="Arial" w:hAnsi="Arial" w:cs="Arial"/>
          <w:sz w:val="22"/>
          <w:szCs w:val="22"/>
        </w:rPr>
        <w:t>A</w:t>
      </w:r>
      <w:r w:rsidR="008C3EF5">
        <w:rPr>
          <w:rFonts w:ascii="Arial" w:hAnsi="Arial" w:cs="Arial"/>
          <w:sz w:val="22"/>
          <w:szCs w:val="22"/>
        </w:rPr>
        <w:t>n</w:t>
      </w:r>
      <w:r>
        <w:rPr>
          <w:rFonts w:ascii="Arial" w:hAnsi="Arial" w:cs="Arial"/>
          <w:sz w:val="22"/>
          <w:szCs w:val="22"/>
        </w:rPr>
        <w:t xml:space="preserve"> </w:t>
      </w:r>
      <w:r w:rsidR="00F52960">
        <w:rPr>
          <w:rFonts w:ascii="Arial" w:hAnsi="Arial" w:cs="Arial"/>
          <w:sz w:val="22"/>
          <w:szCs w:val="22"/>
        </w:rPr>
        <w:t xml:space="preserve">HTA </w:t>
      </w:r>
      <w:r>
        <w:rPr>
          <w:rFonts w:ascii="Arial" w:hAnsi="Arial" w:cs="Arial"/>
          <w:sz w:val="22"/>
          <w:szCs w:val="22"/>
        </w:rPr>
        <w:t xml:space="preserve">licence </w:t>
      </w:r>
      <w:r w:rsidR="00F52960">
        <w:rPr>
          <w:rFonts w:ascii="Arial" w:hAnsi="Arial" w:cs="Arial"/>
          <w:sz w:val="22"/>
          <w:szCs w:val="22"/>
        </w:rPr>
        <w:t xml:space="preserve">(the </w:t>
      </w:r>
      <w:r w:rsidR="00D313D4">
        <w:rPr>
          <w:rFonts w:ascii="Arial" w:hAnsi="Arial" w:cs="Arial"/>
          <w:sz w:val="22"/>
          <w:szCs w:val="22"/>
        </w:rPr>
        <w:t>“</w:t>
      </w:r>
      <w:r w:rsidR="008C3EF5">
        <w:rPr>
          <w:rFonts w:ascii="Arial" w:hAnsi="Arial" w:cs="Arial"/>
          <w:sz w:val="22"/>
          <w:szCs w:val="22"/>
        </w:rPr>
        <w:t>L</w:t>
      </w:r>
      <w:r w:rsidR="006242F1">
        <w:rPr>
          <w:rFonts w:ascii="Arial" w:hAnsi="Arial" w:cs="Arial"/>
          <w:sz w:val="22"/>
          <w:szCs w:val="22"/>
        </w:rPr>
        <w:t>icence</w:t>
      </w:r>
      <w:r w:rsidR="008C3EF5">
        <w:rPr>
          <w:rFonts w:ascii="Arial" w:hAnsi="Arial" w:cs="Arial"/>
          <w:sz w:val="22"/>
          <w:szCs w:val="22"/>
        </w:rPr>
        <w:t>(s)</w:t>
      </w:r>
      <w:r w:rsidR="00D313D4">
        <w:rPr>
          <w:rFonts w:ascii="Arial" w:hAnsi="Arial" w:cs="Arial"/>
          <w:sz w:val="22"/>
          <w:szCs w:val="22"/>
        </w:rPr>
        <w:t>”</w:t>
      </w:r>
      <w:r w:rsidR="00F52960">
        <w:rPr>
          <w:rFonts w:ascii="Arial" w:hAnsi="Arial" w:cs="Arial"/>
          <w:sz w:val="22"/>
          <w:szCs w:val="22"/>
        </w:rPr>
        <w:t xml:space="preserve">) </w:t>
      </w:r>
      <w:r>
        <w:rPr>
          <w:rFonts w:ascii="Arial" w:hAnsi="Arial" w:cs="Arial"/>
          <w:sz w:val="22"/>
          <w:szCs w:val="22"/>
        </w:rPr>
        <w:t xml:space="preserve">is required to store Relevant Material for Scheduled Purposes specified under the HT Act. </w:t>
      </w:r>
      <w:r w:rsidR="008C3EF5">
        <w:rPr>
          <w:rFonts w:ascii="Arial" w:hAnsi="Arial" w:cs="Arial"/>
          <w:sz w:val="22"/>
          <w:szCs w:val="22"/>
        </w:rPr>
        <w:t>L</w:t>
      </w:r>
      <w:r>
        <w:rPr>
          <w:rFonts w:ascii="Arial" w:hAnsi="Arial" w:cs="Arial"/>
          <w:sz w:val="22"/>
          <w:szCs w:val="22"/>
        </w:rPr>
        <w:t>icences cover five sectors: human application</w:t>
      </w:r>
      <w:r w:rsidR="00112A24">
        <w:rPr>
          <w:rFonts w:ascii="Arial" w:hAnsi="Arial" w:cs="Arial"/>
          <w:sz w:val="22"/>
          <w:szCs w:val="22"/>
        </w:rPr>
        <w:t>;</w:t>
      </w:r>
      <w:r>
        <w:rPr>
          <w:rFonts w:ascii="Arial" w:hAnsi="Arial" w:cs="Arial"/>
          <w:sz w:val="22"/>
          <w:szCs w:val="22"/>
        </w:rPr>
        <w:t xml:space="preserve"> anatomy</w:t>
      </w:r>
      <w:r w:rsidR="00112A24">
        <w:rPr>
          <w:rFonts w:ascii="Arial" w:hAnsi="Arial" w:cs="Arial"/>
          <w:sz w:val="22"/>
          <w:szCs w:val="22"/>
        </w:rPr>
        <w:t>;</w:t>
      </w:r>
      <w:r>
        <w:rPr>
          <w:rFonts w:ascii="Arial" w:hAnsi="Arial" w:cs="Arial"/>
          <w:sz w:val="22"/>
          <w:szCs w:val="22"/>
        </w:rPr>
        <w:t xml:space="preserve"> post-mortem</w:t>
      </w:r>
      <w:r w:rsidR="00EB3F09">
        <w:rPr>
          <w:rFonts w:ascii="Arial" w:hAnsi="Arial" w:cs="Arial"/>
          <w:sz w:val="22"/>
          <w:szCs w:val="22"/>
        </w:rPr>
        <w:t xml:space="preserve"> examination</w:t>
      </w:r>
      <w:r w:rsidR="00112A24">
        <w:rPr>
          <w:rFonts w:ascii="Arial" w:hAnsi="Arial" w:cs="Arial"/>
          <w:sz w:val="22"/>
          <w:szCs w:val="22"/>
        </w:rPr>
        <w:t>;</w:t>
      </w:r>
      <w:r>
        <w:rPr>
          <w:rFonts w:ascii="Arial" w:hAnsi="Arial" w:cs="Arial"/>
          <w:sz w:val="22"/>
          <w:szCs w:val="22"/>
        </w:rPr>
        <w:t xml:space="preserve"> research and public display. </w:t>
      </w:r>
      <w:r w:rsidR="009635A2">
        <w:rPr>
          <w:rFonts w:ascii="Arial" w:hAnsi="Arial" w:cs="Arial"/>
          <w:sz w:val="22"/>
          <w:szCs w:val="22"/>
        </w:rPr>
        <w:t>The University is the Licence Holder (</w:t>
      </w:r>
      <w:r w:rsidR="004D04A5">
        <w:rPr>
          <w:rFonts w:ascii="Arial" w:hAnsi="Arial" w:cs="Arial"/>
          <w:sz w:val="22"/>
          <w:szCs w:val="22"/>
        </w:rPr>
        <w:t xml:space="preserve">the </w:t>
      </w:r>
      <w:r w:rsidR="00CB5A7D">
        <w:rPr>
          <w:rFonts w:ascii="Arial" w:hAnsi="Arial" w:cs="Arial"/>
          <w:sz w:val="22"/>
          <w:szCs w:val="22"/>
        </w:rPr>
        <w:t>“</w:t>
      </w:r>
      <w:r w:rsidR="009635A2">
        <w:rPr>
          <w:rFonts w:ascii="Arial" w:hAnsi="Arial" w:cs="Arial"/>
          <w:sz w:val="22"/>
          <w:szCs w:val="22"/>
        </w:rPr>
        <w:t>LH</w:t>
      </w:r>
      <w:r w:rsidR="004D04A5">
        <w:rPr>
          <w:rFonts w:ascii="Arial" w:hAnsi="Arial" w:cs="Arial"/>
          <w:sz w:val="22"/>
          <w:szCs w:val="22"/>
        </w:rPr>
        <w:t>”</w:t>
      </w:r>
      <w:proofErr w:type="gramStart"/>
      <w:r w:rsidR="009635A2">
        <w:rPr>
          <w:rFonts w:ascii="Arial" w:hAnsi="Arial" w:cs="Arial"/>
          <w:sz w:val="22"/>
          <w:szCs w:val="22"/>
        </w:rPr>
        <w:t>)</w:t>
      </w:r>
      <w:proofErr w:type="gramEnd"/>
      <w:r w:rsidR="009635A2">
        <w:rPr>
          <w:rFonts w:ascii="Arial" w:hAnsi="Arial" w:cs="Arial"/>
          <w:sz w:val="22"/>
          <w:szCs w:val="22"/>
        </w:rPr>
        <w:t xml:space="preserve"> and the LH representative is </w:t>
      </w:r>
      <w:r w:rsidR="001B4353">
        <w:rPr>
          <w:rFonts w:ascii="Arial" w:hAnsi="Arial" w:cs="Arial"/>
          <w:sz w:val="22"/>
          <w:szCs w:val="22"/>
        </w:rPr>
        <w:t>a member of the</w:t>
      </w:r>
      <w:r w:rsidR="002B66C8">
        <w:rPr>
          <w:rFonts w:ascii="Arial" w:hAnsi="Arial" w:cs="Arial"/>
          <w:sz w:val="22"/>
          <w:szCs w:val="22"/>
        </w:rPr>
        <w:t xml:space="preserve"> University senior management team. </w:t>
      </w:r>
    </w:p>
    <w:p w14:paraId="3F7B667D" w14:textId="340F5DA6" w:rsidR="00F20A17" w:rsidRDefault="00F20A17" w:rsidP="00740BD7">
      <w:pPr>
        <w:jc w:val="both"/>
        <w:rPr>
          <w:rFonts w:ascii="Arial" w:hAnsi="Arial" w:cs="Arial"/>
          <w:u w:val="single"/>
        </w:rPr>
      </w:pPr>
    </w:p>
    <w:p w14:paraId="2AD722BB" w14:textId="3A90A027" w:rsidR="002F20A5" w:rsidRDefault="002F20A5" w:rsidP="002F20A5">
      <w:pPr>
        <w:pStyle w:val="BodyText"/>
        <w:jc w:val="both"/>
        <w:rPr>
          <w:bCs/>
        </w:rPr>
      </w:pPr>
      <w:r>
        <w:rPr>
          <w:bCs/>
        </w:rPr>
        <w:t xml:space="preserve">A Licence is required to store Relevant Material for research unless a licence exemption applies. Most research involving Relevant Material at the University is undertaken with a favourable opinion from an NHS REC, this constitutes an HTA licensing exemption. Part C </w:t>
      </w:r>
      <w:r w:rsidR="00794869">
        <w:rPr>
          <w:bCs/>
        </w:rPr>
        <w:t xml:space="preserve">of this code of practice </w:t>
      </w:r>
      <w:r>
        <w:rPr>
          <w:bCs/>
        </w:rPr>
        <w:t xml:space="preserve">details how to work with Relevant Material </w:t>
      </w:r>
      <w:r w:rsidRPr="000C222A">
        <w:rPr>
          <w:bCs/>
        </w:rPr>
        <w:t>under an HTA licensing exemption.</w:t>
      </w:r>
      <w:r>
        <w:rPr>
          <w:bCs/>
        </w:rPr>
        <w:t xml:space="preserve"> </w:t>
      </w:r>
    </w:p>
    <w:p w14:paraId="4C887AAD" w14:textId="77777777" w:rsidR="002F20A5" w:rsidRDefault="002F20A5" w:rsidP="00740BD7">
      <w:pPr>
        <w:jc w:val="both"/>
        <w:rPr>
          <w:rFonts w:ascii="Arial" w:hAnsi="Arial" w:cs="Arial"/>
          <w:u w:val="single"/>
        </w:rPr>
      </w:pPr>
    </w:p>
    <w:p w14:paraId="7C1795E9" w14:textId="108ACE9C" w:rsidR="00F20A17" w:rsidRDefault="00F20A17" w:rsidP="00740BD7">
      <w:pPr>
        <w:jc w:val="both"/>
        <w:rPr>
          <w:rFonts w:ascii="Arial" w:hAnsi="Arial" w:cs="Arial"/>
          <w:i/>
          <w:iCs/>
          <w:sz w:val="22"/>
          <w:szCs w:val="22"/>
        </w:rPr>
      </w:pPr>
      <w:r>
        <w:rPr>
          <w:rFonts w:ascii="Arial" w:hAnsi="Arial" w:cs="Arial"/>
          <w:sz w:val="22"/>
          <w:szCs w:val="22"/>
        </w:rPr>
        <w:t>The University identified the need to license its activities and premises to comply with the HT Act</w:t>
      </w:r>
      <w:r w:rsidR="004D04A5">
        <w:rPr>
          <w:rFonts w:ascii="Arial" w:hAnsi="Arial" w:cs="Arial"/>
          <w:sz w:val="22"/>
          <w:szCs w:val="22"/>
        </w:rPr>
        <w:t>.</w:t>
      </w:r>
      <w:r>
        <w:rPr>
          <w:rFonts w:ascii="Arial" w:hAnsi="Arial" w:cs="Arial"/>
          <w:sz w:val="22"/>
          <w:szCs w:val="22"/>
        </w:rPr>
        <w:t xml:space="preserve"> The University h</w:t>
      </w:r>
      <w:r w:rsidR="004D04A5">
        <w:rPr>
          <w:rFonts w:ascii="Arial" w:hAnsi="Arial" w:cs="Arial"/>
          <w:sz w:val="22"/>
          <w:szCs w:val="22"/>
        </w:rPr>
        <w:t xml:space="preserve">olds </w:t>
      </w:r>
      <w:r w:rsidR="00607CD9">
        <w:rPr>
          <w:rFonts w:ascii="Arial" w:hAnsi="Arial" w:cs="Arial"/>
          <w:sz w:val="22"/>
          <w:szCs w:val="22"/>
        </w:rPr>
        <w:t xml:space="preserve">five </w:t>
      </w:r>
      <w:r w:rsidR="008C3EF5">
        <w:rPr>
          <w:rFonts w:ascii="Arial" w:hAnsi="Arial" w:cs="Arial"/>
          <w:sz w:val="22"/>
          <w:szCs w:val="22"/>
        </w:rPr>
        <w:t>L</w:t>
      </w:r>
      <w:r>
        <w:rPr>
          <w:rFonts w:ascii="Arial" w:hAnsi="Arial" w:cs="Arial"/>
          <w:sz w:val="22"/>
          <w:szCs w:val="22"/>
        </w:rPr>
        <w:t>icences in relation to the premises</w:t>
      </w:r>
      <w:r w:rsidR="00837172">
        <w:rPr>
          <w:rFonts w:ascii="Arial" w:hAnsi="Arial" w:cs="Arial"/>
          <w:sz w:val="22"/>
          <w:szCs w:val="22"/>
        </w:rPr>
        <w:t xml:space="preserve"> </w:t>
      </w:r>
      <w:r w:rsidR="004D04A5">
        <w:rPr>
          <w:rFonts w:ascii="Arial" w:hAnsi="Arial" w:cs="Arial"/>
          <w:sz w:val="22"/>
          <w:szCs w:val="22"/>
        </w:rPr>
        <w:t xml:space="preserve">listed in the following table. Each </w:t>
      </w:r>
      <w:r w:rsidR="008C3EF5">
        <w:rPr>
          <w:rFonts w:ascii="Arial" w:hAnsi="Arial" w:cs="Arial"/>
          <w:sz w:val="22"/>
          <w:szCs w:val="22"/>
        </w:rPr>
        <w:t>L</w:t>
      </w:r>
      <w:r w:rsidR="004D04A5">
        <w:rPr>
          <w:rFonts w:ascii="Arial" w:hAnsi="Arial" w:cs="Arial"/>
          <w:sz w:val="22"/>
          <w:szCs w:val="22"/>
        </w:rPr>
        <w:t>icence has</w:t>
      </w:r>
      <w:r w:rsidR="00837172">
        <w:rPr>
          <w:rFonts w:ascii="Arial" w:hAnsi="Arial" w:cs="Arial"/>
          <w:sz w:val="22"/>
          <w:szCs w:val="22"/>
        </w:rPr>
        <w:t xml:space="preserve"> a Designated Individual (</w:t>
      </w:r>
      <w:r w:rsidR="00D27B42">
        <w:rPr>
          <w:rFonts w:ascii="Arial" w:hAnsi="Arial" w:cs="Arial"/>
          <w:sz w:val="22"/>
          <w:szCs w:val="22"/>
        </w:rPr>
        <w:t xml:space="preserve">the </w:t>
      </w:r>
      <w:r w:rsidR="00304E3C">
        <w:rPr>
          <w:rFonts w:ascii="Arial" w:hAnsi="Arial" w:cs="Arial"/>
          <w:sz w:val="22"/>
          <w:szCs w:val="22"/>
        </w:rPr>
        <w:t>“</w:t>
      </w:r>
      <w:r w:rsidR="00837172">
        <w:rPr>
          <w:rFonts w:ascii="Arial" w:hAnsi="Arial" w:cs="Arial"/>
          <w:sz w:val="22"/>
          <w:szCs w:val="22"/>
        </w:rPr>
        <w:t>DI</w:t>
      </w:r>
      <w:r w:rsidR="00D27B42">
        <w:rPr>
          <w:rFonts w:ascii="Arial" w:hAnsi="Arial" w:cs="Arial"/>
          <w:sz w:val="22"/>
          <w:szCs w:val="22"/>
        </w:rPr>
        <w:t>”</w:t>
      </w:r>
      <w:r w:rsidR="00837172">
        <w:rPr>
          <w:rFonts w:ascii="Arial" w:hAnsi="Arial" w:cs="Arial"/>
          <w:sz w:val="22"/>
          <w:szCs w:val="22"/>
        </w:rPr>
        <w:t>)</w:t>
      </w:r>
      <w:r w:rsidR="004D04A5">
        <w:rPr>
          <w:rFonts w:ascii="Arial" w:hAnsi="Arial" w:cs="Arial"/>
          <w:sz w:val="22"/>
          <w:szCs w:val="22"/>
        </w:rPr>
        <w:t xml:space="preserve"> who is responsible for compliance with the HT Act</w:t>
      </w:r>
      <w:r>
        <w:rPr>
          <w:rFonts w:ascii="Arial" w:hAnsi="Arial" w:cs="Arial"/>
          <w:sz w:val="22"/>
          <w:szCs w:val="22"/>
        </w:rPr>
        <w:t>:</w:t>
      </w:r>
    </w:p>
    <w:p w14:paraId="2FDEF6F1" w14:textId="77777777" w:rsidR="00F20A17" w:rsidRDefault="00F20A17">
      <w:pPr>
        <w:rPr>
          <w:rFonts w:ascii="Arial" w:hAnsi="Arial" w:cs="Arial"/>
          <w:b/>
        </w:rPr>
      </w:pP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488"/>
        <w:gridCol w:w="3831"/>
        <w:gridCol w:w="2098"/>
      </w:tblGrid>
      <w:tr w:rsidR="00F20A17" w14:paraId="3A9B3DE0" w14:textId="77777777">
        <w:tc>
          <w:tcPr>
            <w:tcW w:w="1368" w:type="dxa"/>
          </w:tcPr>
          <w:p w14:paraId="17B45997" w14:textId="77777777" w:rsidR="00F20A17" w:rsidRDefault="00F20A17">
            <w:pPr>
              <w:rPr>
                <w:rFonts w:ascii="Arial" w:hAnsi="Arial" w:cs="Arial"/>
                <w:b/>
                <w:bCs/>
                <w:sz w:val="22"/>
                <w:szCs w:val="22"/>
              </w:rPr>
            </w:pPr>
            <w:r>
              <w:rPr>
                <w:rFonts w:ascii="Arial" w:hAnsi="Arial" w:cs="Arial"/>
                <w:b/>
                <w:bCs/>
                <w:sz w:val="22"/>
                <w:szCs w:val="22"/>
              </w:rPr>
              <w:t>Sector</w:t>
            </w:r>
          </w:p>
        </w:tc>
        <w:tc>
          <w:tcPr>
            <w:tcW w:w="1488" w:type="dxa"/>
          </w:tcPr>
          <w:p w14:paraId="7CDDA7C1" w14:textId="77777777" w:rsidR="00F20A17" w:rsidRDefault="00F20A17">
            <w:pPr>
              <w:rPr>
                <w:rFonts w:ascii="Arial" w:hAnsi="Arial" w:cs="Arial"/>
                <w:b/>
                <w:bCs/>
                <w:sz w:val="22"/>
                <w:szCs w:val="22"/>
              </w:rPr>
            </w:pPr>
            <w:r>
              <w:rPr>
                <w:rFonts w:ascii="Arial" w:hAnsi="Arial" w:cs="Arial"/>
                <w:b/>
                <w:bCs/>
                <w:sz w:val="22"/>
                <w:szCs w:val="22"/>
              </w:rPr>
              <w:t>Licence no</w:t>
            </w:r>
          </w:p>
        </w:tc>
        <w:tc>
          <w:tcPr>
            <w:tcW w:w="3831" w:type="dxa"/>
          </w:tcPr>
          <w:p w14:paraId="5E799644" w14:textId="77777777" w:rsidR="00F20A17" w:rsidRDefault="00F20A17">
            <w:pPr>
              <w:rPr>
                <w:rFonts w:ascii="Arial" w:hAnsi="Arial" w:cs="Arial"/>
                <w:b/>
                <w:bCs/>
                <w:sz w:val="22"/>
                <w:szCs w:val="22"/>
              </w:rPr>
            </w:pPr>
            <w:r>
              <w:rPr>
                <w:rFonts w:ascii="Arial" w:hAnsi="Arial" w:cs="Arial"/>
                <w:b/>
                <w:bCs/>
                <w:sz w:val="22"/>
                <w:szCs w:val="22"/>
              </w:rPr>
              <w:t>Premises</w:t>
            </w:r>
          </w:p>
        </w:tc>
        <w:tc>
          <w:tcPr>
            <w:tcW w:w="2098" w:type="dxa"/>
          </w:tcPr>
          <w:p w14:paraId="798691FB" w14:textId="77777777" w:rsidR="00F20A17" w:rsidRDefault="00F20A17">
            <w:pPr>
              <w:rPr>
                <w:rFonts w:ascii="Arial" w:hAnsi="Arial" w:cs="Arial"/>
                <w:b/>
                <w:bCs/>
                <w:sz w:val="22"/>
                <w:szCs w:val="22"/>
              </w:rPr>
            </w:pPr>
            <w:r>
              <w:rPr>
                <w:rFonts w:ascii="Arial" w:hAnsi="Arial" w:cs="Arial"/>
                <w:b/>
                <w:bCs/>
                <w:sz w:val="22"/>
                <w:szCs w:val="22"/>
              </w:rPr>
              <w:t>Designated Individual</w:t>
            </w:r>
          </w:p>
        </w:tc>
      </w:tr>
      <w:tr w:rsidR="00D42745" w14:paraId="45326C6A" w14:textId="77777777">
        <w:tc>
          <w:tcPr>
            <w:tcW w:w="1368" w:type="dxa"/>
          </w:tcPr>
          <w:p w14:paraId="70A17F3B" w14:textId="77777777" w:rsidR="00D42745" w:rsidRDefault="00D42745">
            <w:pPr>
              <w:rPr>
                <w:rFonts w:ascii="Arial" w:hAnsi="Arial" w:cs="Arial"/>
                <w:sz w:val="22"/>
                <w:szCs w:val="22"/>
              </w:rPr>
            </w:pPr>
            <w:r>
              <w:rPr>
                <w:rFonts w:ascii="Arial" w:hAnsi="Arial" w:cs="Arial"/>
                <w:bCs/>
                <w:sz w:val="22"/>
                <w:szCs w:val="22"/>
              </w:rPr>
              <w:t>Anatomy</w:t>
            </w:r>
          </w:p>
        </w:tc>
        <w:tc>
          <w:tcPr>
            <w:tcW w:w="1488" w:type="dxa"/>
          </w:tcPr>
          <w:p w14:paraId="7E9AF7DC" w14:textId="77777777" w:rsidR="00D42745" w:rsidRDefault="00D42745">
            <w:pPr>
              <w:rPr>
                <w:rFonts w:ascii="Arial" w:hAnsi="Arial" w:cs="Arial"/>
                <w:sz w:val="22"/>
                <w:szCs w:val="22"/>
              </w:rPr>
            </w:pPr>
            <w:r>
              <w:rPr>
                <w:rFonts w:ascii="Arial" w:hAnsi="Arial" w:cs="Arial"/>
                <w:sz w:val="22"/>
                <w:szCs w:val="22"/>
              </w:rPr>
              <w:t>12135</w:t>
            </w:r>
          </w:p>
        </w:tc>
        <w:tc>
          <w:tcPr>
            <w:tcW w:w="3831" w:type="dxa"/>
          </w:tcPr>
          <w:p w14:paraId="1A23B5D3" w14:textId="4E5B1E28" w:rsidR="00D42745" w:rsidRPr="0053439C" w:rsidRDefault="005D783D" w:rsidP="00B02516">
            <w:pPr>
              <w:rPr>
                <w:rFonts w:ascii="Arial" w:hAnsi="Arial" w:cs="Arial"/>
                <w:sz w:val="22"/>
                <w:szCs w:val="22"/>
              </w:rPr>
            </w:pPr>
            <w:r w:rsidRPr="00E32FD4">
              <w:rPr>
                <w:rFonts w:ascii="Arial" w:hAnsi="Arial" w:cs="Arial"/>
                <w:sz w:val="22"/>
                <w:szCs w:val="22"/>
              </w:rPr>
              <w:t>School of Anatomy</w:t>
            </w:r>
          </w:p>
          <w:p w14:paraId="67031FB7" w14:textId="77777777" w:rsidR="00D42745" w:rsidRPr="005D783D" w:rsidRDefault="00D42745" w:rsidP="00B02516">
            <w:pPr>
              <w:rPr>
                <w:rFonts w:ascii="Arial" w:hAnsi="Arial" w:cs="Arial"/>
                <w:sz w:val="22"/>
                <w:szCs w:val="22"/>
              </w:rPr>
            </w:pPr>
          </w:p>
        </w:tc>
        <w:tc>
          <w:tcPr>
            <w:tcW w:w="2098" w:type="dxa"/>
          </w:tcPr>
          <w:p w14:paraId="7DE494EE" w14:textId="41D2F58B" w:rsidR="00D42745" w:rsidRDefault="00D42745">
            <w:pPr>
              <w:rPr>
                <w:rFonts w:ascii="Arial" w:hAnsi="Arial" w:cs="Arial"/>
                <w:sz w:val="22"/>
                <w:szCs w:val="22"/>
              </w:rPr>
            </w:pPr>
            <w:r>
              <w:rPr>
                <w:rFonts w:ascii="Arial" w:hAnsi="Arial" w:cs="Arial"/>
                <w:sz w:val="22"/>
                <w:szCs w:val="22"/>
              </w:rPr>
              <w:t xml:space="preserve">Mrs Kate </w:t>
            </w:r>
            <w:r w:rsidR="00E81B70">
              <w:rPr>
                <w:rFonts w:ascii="Arial" w:hAnsi="Arial" w:cs="Arial"/>
                <w:sz w:val="22"/>
                <w:szCs w:val="22"/>
              </w:rPr>
              <w:t>Sparey</w:t>
            </w:r>
            <w:r>
              <w:rPr>
                <w:rFonts w:ascii="Arial" w:hAnsi="Arial" w:cs="Arial"/>
                <w:sz w:val="22"/>
                <w:szCs w:val="22"/>
              </w:rPr>
              <w:t xml:space="preserve"> </w:t>
            </w:r>
          </w:p>
        </w:tc>
      </w:tr>
      <w:tr w:rsidR="00D42745" w14:paraId="557833D0" w14:textId="77777777">
        <w:tc>
          <w:tcPr>
            <w:tcW w:w="1368" w:type="dxa"/>
          </w:tcPr>
          <w:p w14:paraId="3A760563" w14:textId="77777777" w:rsidR="00D42745" w:rsidRDefault="00D42745">
            <w:pPr>
              <w:rPr>
                <w:rFonts w:ascii="Arial" w:hAnsi="Arial" w:cs="Arial"/>
                <w:sz w:val="22"/>
                <w:szCs w:val="22"/>
              </w:rPr>
            </w:pPr>
            <w:r>
              <w:rPr>
                <w:rFonts w:ascii="Arial" w:hAnsi="Arial" w:cs="Arial"/>
                <w:sz w:val="22"/>
                <w:szCs w:val="22"/>
              </w:rPr>
              <w:t>Research</w:t>
            </w:r>
          </w:p>
        </w:tc>
        <w:tc>
          <w:tcPr>
            <w:tcW w:w="1488" w:type="dxa"/>
          </w:tcPr>
          <w:p w14:paraId="5CB96980" w14:textId="77777777" w:rsidR="00D42745" w:rsidRDefault="00D42745">
            <w:pPr>
              <w:rPr>
                <w:rFonts w:ascii="Arial" w:hAnsi="Arial" w:cs="Arial"/>
                <w:sz w:val="22"/>
                <w:szCs w:val="22"/>
              </w:rPr>
            </w:pPr>
            <w:r>
              <w:rPr>
                <w:rFonts w:ascii="Arial" w:hAnsi="Arial" w:cs="Arial"/>
                <w:sz w:val="22"/>
                <w:szCs w:val="22"/>
              </w:rPr>
              <w:t>12200</w:t>
            </w:r>
          </w:p>
        </w:tc>
        <w:tc>
          <w:tcPr>
            <w:tcW w:w="3831" w:type="dxa"/>
          </w:tcPr>
          <w:p w14:paraId="1A7FD9EF" w14:textId="77777777" w:rsidR="00D42745" w:rsidRDefault="00D42745" w:rsidP="00B02516">
            <w:pPr>
              <w:rPr>
                <w:rFonts w:ascii="Arial" w:hAnsi="Arial" w:cs="Arial"/>
                <w:sz w:val="22"/>
                <w:szCs w:val="22"/>
              </w:rPr>
            </w:pPr>
            <w:r>
              <w:rPr>
                <w:rFonts w:ascii="Arial" w:hAnsi="Arial" w:cs="Arial"/>
                <w:sz w:val="22"/>
                <w:szCs w:val="22"/>
              </w:rPr>
              <w:t>Bristol</w:t>
            </w:r>
            <w:r>
              <w:rPr>
                <w:rFonts w:ascii="Arial" w:hAnsi="Arial" w:cs="Arial"/>
                <w:b/>
                <w:sz w:val="22"/>
                <w:szCs w:val="22"/>
              </w:rPr>
              <w:t xml:space="preserve"> </w:t>
            </w:r>
            <w:r>
              <w:rPr>
                <w:rFonts w:ascii="Arial" w:hAnsi="Arial" w:cs="Arial"/>
                <w:sz w:val="22"/>
                <w:szCs w:val="22"/>
              </w:rPr>
              <w:t>Dental School and Hospital</w:t>
            </w:r>
          </w:p>
          <w:p w14:paraId="62824090" w14:textId="2DBBD8FB" w:rsidR="00E32FD4" w:rsidRDefault="00E32FD4" w:rsidP="00B02516">
            <w:pPr>
              <w:rPr>
                <w:rFonts w:ascii="Arial" w:hAnsi="Arial" w:cs="Arial"/>
                <w:sz w:val="22"/>
                <w:szCs w:val="22"/>
              </w:rPr>
            </w:pPr>
          </w:p>
        </w:tc>
        <w:tc>
          <w:tcPr>
            <w:tcW w:w="2098" w:type="dxa"/>
          </w:tcPr>
          <w:p w14:paraId="39F3B51F" w14:textId="77777777" w:rsidR="00D42745" w:rsidRDefault="00D42745">
            <w:pPr>
              <w:rPr>
                <w:rFonts w:ascii="Arial" w:hAnsi="Arial" w:cs="Arial"/>
                <w:sz w:val="22"/>
                <w:szCs w:val="22"/>
              </w:rPr>
            </w:pPr>
            <w:r>
              <w:rPr>
                <w:rFonts w:ascii="Arial" w:hAnsi="Arial" w:cs="Arial"/>
                <w:sz w:val="22"/>
                <w:szCs w:val="22"/>
              </w:rPr>
              <w:t>Dr Maria Davies</w:t>
            </w:r>
          </w:p>
        </w:tc>
      </w:tr>
      <w:tr w:rsidR="00D42745" w14:paraId="202B8585" w14:textId="77777777">
        <w:tc>
          <w:tcPr>
            <w:tcW w:w="1368" w:type="dxa"/>
          </w:tcPr>
          <w:p w14:paraId="7F688C53" w14:textId="77777777" w:rsidR="00D42745" w:rsidRDefault="00D42745">
            <w:pPr>
              <w:rPr>
                <w:rFonts w:ascii="Arial" w:hAnsi="Arial" w:cs="Arial"/>
                <w:sz w:val="22"/>
                <w:szCs w:val="22"/>
              </w:rPr>
            </w:pPr>
            <w:r>
              <w:rPr>
                <w:rFonts w:ascii="Arial" w:hAnsi="Arial" w:cs="Arial"/>
                <w:sz w:val="22"/>
                <w:szCs w:val="22"/>
              </w:rPr>
              <w:t>Research</w:t>
            </w:r>
          </w:p>
        </w:tc>
        <w:tc>
          <w:tcPr>
            <w:tcW w:w="1488" w:type="dxa"/>
          </w:tcPr>
          <w:p w14:paraId="68DC3D38" w14:textId="77777777" w:rsidR="00D42745" w:rsidRDefault="00D42745">
            <w:pPr>
              <w:rPr>
                <w:rFonts w:ascii="Arial" w:hAnsi="Arial" w:cs="Arial"/>
                <w:sz w:val="22"/>
                <w:szCs w:val="22"/>
              </w:rPr>
            </w:pPr>
            <w:r>
              <w:rPr>
                <w:rFonts w:ascii="Arial" w:hAnsi="Arial" w:cs="Arial"/>
                <w:sz w:val="22"/>
                <w:szCs w:val="22"/>
              </w:rPr>
              <w:t>12248</w:t>
            </w:r>
          </w:p>
        </w:tc>
        <w:tc>
          <w:tcPr>
            <w:tcW w:w="3831" w:type="dxa"/>
          </w:tcPr>
          <w:p w14:paraId="0A840149" w14:textId="5522B900" w:rsidR="00D42745" w:rsidRDefault="006C567D">
            <w:pPr>
              <w:rPr>
                <w:rFonts w:ascii="Arial" w:hAnsi="Arial" w:cs="Arial"/>
                <w:sz w:val="22"/>
                <w:szCs w:val="22"/>
              </w:rPr>
            </w:pPr>
            <w:r w:rsidRPr="006C567D">
              <w:rPr>
                <w:rFonts w:ascii="Arial" w:hAnsi="Arial" w:cs="Arial"/>
                <w:sz w:val="22"/>
                <w:szCs w:val="22"/>
              </w:rPr>
              <w:t>Biomedical Sciences Building</w:t>
            </w:r>
          </w:p>
          <w:p w14:paraId="0531F250" w14:textId="66626344" w:rsidR="00D42745" w:rsidRDefault="00D42745">
            <w:pPr>
              <w:rPr>
                <w:rFonts w:ascii="Arial" w:hAnsi="Arial" w:cs="Arial"/>
                <w:sz w:val="22"/>
                <w:szCs w:val="22"/>
              </w:rPr>
            </w:pPr>
          </w:p>
        </w:tc>
        <w:tc>
          <w:tcPr>
            <w:tcW w:w="2098" w:type="dxa"/>
          </w:tcPr>
          <w:p w14:paraId="6829A1A8" w14:textId="77777777" w:rsidR="00D42745" w:rsidRDefault="00D42745">
            <w:pPr>
              <w:rPr>
                <w:rFonts w:ascii="Arial" w:hAnsi="Arial" w:cs="Arial"/>
                <w:sz w:val="22"/>
                <w:szCs w:val="22"/>
              </w:rPr>
            </w:pPr>
            <w:r>
              <w:rPr>
                <w:rFonts w:ascii="Arial" w:hAnsi="Arial" w:cs="Arial"/>
                <w:sz w:val="22"/>
                <w:szCs w:val="22"/>
              </w:rPr>
              <w:t>Dr Wael Kafienah</w:t>
            </w:r>
          </w:p>
        </w:tc>
      </w:tr>
      <w:tr w:rsidR="00D42745" w14:paraId="52687034" w14:textId="77777777">
        <w:tc>
          <w:tcPr>
            <w:tcW w:w="1368" w:type="dxa"/>
          </w:tcPr>
          <w:p w14:paraId="40AE10D7" w14:textId="77777777" w:rsidR="00D42745" w:rsidRDefault="00D42745">
            <w:pPr>
              <w:rPr>
                <w:rFonts w:ascii="Arial" w:hAnsi="Arial" w:cs="Arial"/>
                <w:b/>
                <w:bCs/>
                <w:sz w:val="22"/>
                <w:szCs w:val="22"/>
              </w:rPr>
            </w:pPr>
            <w:r>
              <w:rPr>
                <w:rFonts w:ascii="Arial" w:hAnsi="Arial" w:cs="Arial"/>
                <w:sz w:val="22"/>
                <w:szCs w:val="22"/>
              </w:rPr>
              <w:t>Research</w:t>
            </w:r>
          </w:p>
        </w:tc>
        <w:tc>
          <w:tcPr>
            <w:tcW w:w="1488" w:type="dxa"/>
          </w:tcPr>
          <w:p w14:paraId="70C8D38E" w14:textId="77777777" w:rsidR="00D42745" w:rsidRDefault="00D42745">
            <w:pPr>
              <w:rPr>
                <w:rFonts w:ascii="Arial" w:hAnsi="Arial" w:cs="Arial"/>
                <w:sz w:val="22"/>
                <w:szCs w:val="22"/>
              </w:rPr>
            </w:pPr>
            <w:r>
              <w:rPr>
                <w:rFonts w:ascii="Arial" w:hAnsi="Arial" w:cs="Arial"/>
                <w:sz w:val="22"/>
                <w:szCs w:val="22"/>
              </w:rPr>
              <w:t>12273</w:t>
            </w:r>
          </w:p>
        </w:tc>
        <w:tc>
          <w:tcPr>
            <w:tcW w:w="3831" w:type="dxa"/>
          </w:tcPr>
          <w:p w14:paraId="2DEBAEE9" w14:textId="77777777" w:rsidR="006B4EDC" w:rsidRPr="006B4EDC" w:rsidRDefault="006B4EDC" w:rsidP="006B4EDC">
            <w:pPr>
              <w:rPr>
                <w:rFonts w:ascii="Arial" w:hAnsi="Arial" w:cs="Arial"/>
                <w:sz w:val="21"/>
                <w:szCs w:val="21"/>
              </w:rPr>
            </w:pPr>
            <w:proofErr w:type="gramStart"/>
            <w:r w:rsidRPr="006B4EDC">
              <w:rPr>
                <w:rFonts w:ascii="Arial" w:hAnsi="Arial" w:cs="Arial"/>
                <w:sz w:val="21"/>
                <w:szCs w:val="21"/>
              </w:rPr>
              <w:t>South West</w:t>
            </w:r>
            <w:proofErr w:type="gramEnd"/>
            <w:r w:rsidRPr="006B4EDC">
              <w:rPr>
                <w:rFonts w:ascii="Arial" w:hAnsi="Arial" w:cs="Arial"/>
                <w:sz w:val="21"/>
                <w:szCs w:val="21"/>
              </w:rPr>
              <w:t xml:space="preserve"> Dementia Brain Bank, </w:t>
            </w:r>
          </w:p>
          <w:p w14:paraId="4B1C3306" w14:textId="32A9A33E" w:rsidR="00D42745" w:rsidRDefault="006B4EDC">
            <w:pPr>
              <w:rPr>
                <w:rFonts w:ascii="Arial" w:hAnsi="Arial" w:cs="Arial"/>
                <w:sz w:val="22"/>
                <w:szCs w:val="22"/>
              </w:rPr>
            </w:pPr>
            <w:r w:rsidRPr="006B4EDC">
              <w:rPr>
                <w:rFonts w:ascii="Arial" w:hAnsi="Arial" w:cs="Arial"/>
                <w:sz w:val="21"/>
                <w:szCs w:val="21"/>
              </w:rPr>
              <w:t>Bristol Medical School</w:t>
            </w:r>
          </w:p>
        </w:tc>
        <w:tc>
          <w:tcPr>
            <w:tcW w:w="2098" w:type="dxa"/>
          </w:tcPr>
          <w:p w14:paraId="13DE4E24" w14:textId="30E859F1" w:rsidR="00D42745" w:rsidRDefault="00405A66">
            <w:pPr>
              <w:rPr>
                <w:rFonts w:ascii="Arial" w:hAnsi="Arial" w:cs="Arial"/>
                <w:sz w:val="22"/>
                <w:szCs w:val="22"/>
              </w:rPr>
            </w:pPr>
            <w:r>
              <w:rPr>
                <w:rFonts w:ascii="Arial" w:hAnsi="Arial" w:cs="Arial"/>
                <w:sz w:val="22"/>
                <w:szCs w:val="22"/>
              </w:rPr>
              <w:t>Dr Laura Palmer</w:t>
            </w:r>
          </w:p>
        </w:tc>
      </w:tr>
      <w:tr w:rsidR="00D42745" w14:paraId="1859DB49" w14:textId="77777777">
        <w:tc>
          <w:tcPr>
            <w:tcW w:w="1368" w:type="dxa"/>
          </w:tcPr>
          <w:p w14:paraId="0BA54C6B" w14:textId="77777777" w:rsidR="00D42745" w:rsidRDefault="00D42745">
            <w:pPr>
              <w:rPr>
                <w:rFonts w:ascii="Arial" w:hAnsi="Arial" w:cs="Arial"/>
                <w:sz w:val="22"/>
                <w:szCs w:val="22"/>
              </w:rPr>
            </w:pPr>
            <w:r>
              <w:rPr>
                <w:rFonts w:ascii="Arial" w:hAnsi="Arial" w:cs="Arial"/>
                <w:sz w:val="22"/>
                <w:szCs w:val="22"/>
              </w:rPr>
              <w:t>Research</w:t>
            </w:r>
          </w:p>
        </w:tc>
        <w:tc>
          <w:tcPr>
            <w:tcW w:w="1488" w:type="dxa"/>
          </w:tcPr>
          <w:p w14:paraId="5F7149F6" w14:textId="77777777" w:rsidR="00D42745" w:rsidRDefault="00D42745">
            <w:pPr>
              <w:rPr>
                <w:rFonts w:ascii="Arial" w:hAnsi="Arial" w:cs="Arial"/>
                <w:sz w:val="22"/>
                <w:szCs w:val="22"/>
              </w:rPr>
            </w:pPr>
            <w:r>
              <w:rPr>
                <w:rFonts w:ascii="Arial" w:hAnsi="Arial" w:cs="Arial"/>
                <w:sz w:val="22"/>
                <w:szCs w:val="22"/>
              </w:rPr>
              <w:t>12512</w:t>
            </w:r>
          </w:p>
        </w:tc>
        <w:tc>
          <w:tcPr>
            <w:tcW w:w="3831" w:type="dxa"/>
          </w:tcPr>
          <w:p w14:paraId="182F38D6" w14:textId="5CCF32EA" w:rsidR="00D42745" w:rsidRDefault="00D42745" w:rsidP="00831868">
            <w:pPr>
              <w:rPr>
                <w:rFonts w:ascii="Arial" w:hAnsi="Arial" w:cs="Arial"/>
                <w:sz w:val="22"/>
                <w:szCs w:val="22"/>
              </w:rPr>
            </w:pPr>
            <w:r>
              <w:rPr>
                <w:rFonts w:ascii="Arial" w:hAnsi="Arial" w:cs="Arial"/>
                <w:sz w:val="22"/>
                <w:szCs w:val="22"/>
              </w:rPr>
              <w:t>Oakfield House</w:t>
            </w:r>
            <w:r w:rsidR="003E4259">
              <w:rPr>
                <w:rFonts w:ascii="Arial" w:hAnsi="Arial" w:cs="Arial"/>
                <w:sz w:val="22"/>
                <w:szCs w:val="22"/>
              </w:rPr>
              <w:t>,</w:t>
            </w:r>
            <w:r w:rsidR="00C81C6D">
              <w:rPr>
                <w:rFonts w:ascii="Arial" w:hAnsi="Arial" w:cs="Arial"/>
                <w:sz w:val="22"/>
                <w:szCs w:val="22"/>
              </w:rPr>
              <w:t xml:space="preserve"> Bristol Medical School.</w:t>
            </w:r>
          </w:p>
          <w:p w14:paraId="66A434BE" w14:textId="77777777" w:rsidR="00D42745" w:rsidRDefault="00D42745" w:rsidP="00831868">
            <w:pPr>
              <w:rPr>
                <w:rFonts w:ascii="Arial" w:hAnsi="Arial" w:cs="Arial"/>
                <w:sz w:val="22"/>
                <w:szCs w:val="22"/>
              </w:rPr>
            </w:pPr>
          </w:p>
          <w:p w14:paraId="44885668" w14:textId="77777777" w:rsidR="00D42745" w:rsidRDefault="00F72BF0" w:rsidP="00831868">
            <w:pPr>
              <w:rPr>
                <w:rFonts w:ascii="Arial" w:hAnsi="Arial" w:cs="Arial"/>
                <w:sz w:val="22"/>
                <w:szCs w:val="22"/>
              </w:rPr>
            </w:pPr>
            <w:r>
              <w:rPr>
                <w:rFonts w:ascii="Arial" w:hAnsi="Arial" w:cs="Arial"/>
                <w:sz w:val="22"/>
                <w:szCs w:val="22"/>
              </w:rPr>
              <w:t>Satellite Site: Langford House</w:t>
            </w:r>
          </w:p>
          <w:p w14:paraId="3D67B783" w14:textId="3D14B891" w:rsidR="00F72BF0" w:rsidRDefault="00F72BF0" w:rsidP="00831868">
            <w:pPr>
              <w:rPr>
                <w:rFonts w:ascii="Arial" w:hAnsi="Arial" w:cs="Arial"/>
                <w:sz w:val="22"/>
                <w:szCs w:val="22"/>
              </w:rPr>
            </w:pPr>
          </w:p>
        </w:tc>
        <w:tc>
          <w:tcPr>
            <w:tcW w:w="2098" w:type="dxa"/>
          </w:tcPr>
          <w:p w14:paraId="4EF7ED5D" w14:textId="5EF9549C" w:rsidR="00D42745" w:rsidRDefault="00D42745">
            <w:pPr>
              <w:rPr>
                <w:rFonts w:ascii="Arial" w:hAnsi="Arial" w:cs="Arial"/>
                <w:sz w:val="22"/>
                <w:szCs w:val="22"/>
              </w:rPr>
            </w:pPr>
            <w:r>
              <w:rPr>
                <w:rFonts w:ascii="Arial" w:hAnsi="Arial" w:cs="Arial"/>
                <w:sz w:val="22"/>
                <w:szCs w:val="22"/>
              </w:rPr>
              <w:t>Dr Su</w:t>
            </w:r>
            <w:r w:rsidR="00405A66">
              <w:rPr>
                <w:rFonts w:ascii="Arial" w:hAnsi="Arial" w:cs="Arial"/>
                <w:sz w:val="22"/>
                <w:szCs w:val="22"/>
              </w:rPr>
              <w:t>san</w:t>
            </w:r>
            <w:r>
              <w:rPr>
                <w:rFonts w:ascii="Arial" w:hAnsi="Arial" w:cs="Arial"/>
                <w:sz w:val="22"/>
                <w:szCs w:val="22"/>
              </w:rPr>
              <w:t xml:space="preserve"> Ring</w:t>
            </w:r>
          </w:p>
        </w:tc>
      </w:tr>
    </w:tbl>
    <w:p w14:paraId="4A3E3278" w14:textId="7AC2A97D" w:rsidR="00F20A17" w:rsidRDefault="00F20A17">
      <w:pPr>
        <w:rPr>
          <w:rFonts w:ascii="Arial" w:hAnsi="Arial" w:cs="Arial"/>
          <w:b/>
        </w:rPr>
      </w:pPr>
    </w:p>
    <w:p w14:paraId="1691B17E" w14:textId="77777777" w:rsidR="0049658A" w:rsidRDefault="0049658A">
      <w:pPr>
        <w:rPr>
          <w:rFonts w:ascii="Arial" w:hAnsi="Arial" w:cs="Arial"/>
          <w:b/>
        </w:rPr>
      </w:pPr>
    </w:p>
    <w:p w14:paraId="4F231337" w14:textId="77777777" w:rsidR="001B0E03" w:rsidRDefault="001B0E03" w:rsidP="001B0E03">
      <w:pPr>
        <w:numPr>
          <w:ilvl w:val="0"/>
          <w:numId w:val="7"/>
        </w:numPr>
        <w:rPr>
          <w:rFonts w:ascii="Arial" w:hAnsi="Arial" w:cs="Arial"/>
          <w:b/>
        </w:rPr>
      </w:pPr>
      <w:r>
        <w:rPr>
          <w:rFonts w:ascii="Arial" w:hAnsi="Arial" w:cs="Arial"/>
          <w:b/>
        </w:rPr>
        <w:t>Human Tissue Working Group</w:t>
      </w:r>
    </w:p>
    <w:p w14:paraId="0FA4F4DB" w14:textId="77777777" w:rsidR="00745A31" w:rsidRDefault="00745A31" w:rsidP="00625913">
      <w:pPr>
        <w:jc w:val="both"/>
        <w:rPr>
          <w:rFonts w:ascii="Arial" w:hAnsi="Arial" w:cs="Arial"/>
          <w:sz w:val="22"/>
          <w:szCs w:val="22"/>
        </w:rPr>
      </w:pPr>
    </w:p>
    <w:p w14:paraId="46524129" w14:textId="595CD35B" w:rsidR="00625913" w:rsidRDefault="00973794" w:rsidP="00625913">
      <w:pPr>
        <w:jc w:val="both"/>
        <w:rPr>
          <w:rFonts w:ascii="Arial" w:hAnsi="Arial" w:cs="Arial"/>
          <w:sz w:val="22"/>
          <w:szCs w:val="22"/>
        </w:rPr>
      </w:pPr>
      <w:r w:rsidRPr="00943787">
        <w:rPr>
          <w:rFonts w:ascii="Arial" w:hAnsi="Arial" w:cs="Arial"/>
          <w:sz w:val="22"/>
          <w:szCs w:val="22"/>
        </w:rPr>
        <w:t xml:space="preserve">The </w:t>
      </w:r>
      <w:r w:rsidR="00B66203">
        <w:rPr>
          <w:rFonts w:ascii="Arial" w:hAnsi="Arial" w:cs="Arial"/>
          <w:sz w:val="22"/>
          <w:szCs w:val="22"/>
        </w:rPr>
        <w:t>HTWG</w:t>
      </w:r>
      <w:r w:rsidR="00625913" w:rsidRPr="00943787">
        <w:rPr>
          <w:rFonts w:ascii="Arial" w:hAnsi="Arial" w:cs="Arial"/>
          <w:sz w:val="22"/>
          <w:szCs w:val="22"/>
        </w:rPr>
        <w:t xml:space="preserve"> was established </w:t>
      </w:r>
      <w:r w:rsidR="00D97F5E" w:rsidRPr="00D97F5E">
        <w:rPr>
          <w:rFonts w:ascii="Arial" w:hAnsi="Arial" w:cs="Arial"/>
          <w:sz w:val="22"/>
          <w:szCs w:val="22"/>
        </w:rPr>
        <w:t>as an expert advisory group to share best practice in all aspects of the HTA licensing requirements.</w:t>
      </w:r>
      <w:r w:rsidR="009C2C0D">
        <w:rPr>
          <w:rFonts w:ascii="Arial" w:hAnsi="Arial" w:cs="Arial"/>
          <w:sz w:val="22"/>
          <w:szCs w:val="22"/>
        </w:rPr>
        <w:t xml:space="preserve"> </w:t>
      </w:r>
      <w:r w:rsidR="00F947EF">
        <w:rPr>
          <w:rFonts w:ascii="Arial" w:hAnsi="Arial" w:cs="Arial"/>
          <w:sz w:val="22"/>
          <w:szCs w:val="22"/>
        </w:rPr>
        <w:t>I</w:t>
      </w:r>
      <w:r w:rsidR="00F947EF" w:rsidRPr="00F947EF">
        <w:rPr>
          <w:rFonts w:ascii="Arial" w:hAnsi="Arial" w:cs="Arial"/>
          <w:sz w:val="22"/>
          <w:szCs w:val="22"/>
        </w:rPr>
        <w:t>n addition</w:t>
      </w:r>
      <w:r w:rsidR="00A03709">
        <w:rPr>
          <w:rFonts w:ascii="Arial" w:hAnsi="Arial" w:cs="Arial"/>
          <w:sz w:val="22"/>
          <w:szCs w:val="22"/>
        </w:rPr>
        <w:t>,</w:t>
      </w:r>
      <w:r w:rsidR="00F947EF" w:rsidRPr="00F947EF">
        <w:rPr>
          <w:rFonts w:ascii="Arial" w:hAnsi="Arial" w:cs="Arial"/>
          <w:sz w:val="22"/>
          <w:szCs w:val="22"/>
        </w:rPr>
        <w:t xml:space="preserve"> it functions as a forum for HT Act related consultations on behalf of the University.</w:t>
      </w:r>
      <w:r w:rsidR="00717F35">
        <w:rPr>
          <w:rFonts w:ascii="Arial" w:hAnsi="Arial" w:cs="Arial"/>
          <w:sz w:val="22"/>
          <w:szCs w:val="22"/>
        </w:rPr>
        <w:t xml:space="preserve"> </w:t>
      </w:r>
      <w:r w:rsidR="00A979D2">
        <w:rPr>
          <w:rFonts w:ascii="Arial" w:hAnsi="Arial" w:cs="Arial"/>
          <w:sz w:val="22"/>
          <w:szCs w:val="22"/>
        </w:rPr>
        <w:t>It includes a programme of internal audits</w:t>
      </w:r>
      <w:r w:rsidR="00EE6FEE">
        <w:rPr>
          <w:rFonts w:ascii="Arial" w:hAnsi="Arial" w:cs="Arial"/>
          <w:sz w:val="22"/>
          <w:szCs w:val="22"/>
        </w:rPr>
        <w:t xml:space="preserve"> of Licences he</w:t>
      </w:r>
      <w:r w:rsidR="00777ED2">
        <w:rPr>
          <w:rFonts w:ascii="Arial" w:hAnsi="Arial" w:cs="Arial"/>
          <w:sz w:val="22"/>
          <w:szCs w:val="22"/>
        </w:rPr>
        <w:t>l</w:t>
      </w:r>
      <w:r w:rsidR="00EE6FEE">
        <w:rPr>
          <w:rFonts w:ascii="Arial" w:hAnsi="Arial" w:cs="Arial"/>
          <w:sz w:val="22"/>
          <w:szCs w:val="22"/>
        </w:rPr>
        <w:t>d by the University.</w:t>
      </w:r>
      <w:r w:rsidR="00F947EF" w:rsidRPr="00F947EF">
        <w:rPr>
          <w:rFonts w:ascii="Arial" w:hAnsi="Arial" w:cs="Arial"/>
          <w:sz w:val="22"/>
          <w:szCs w:val="22"/>
        </w:rPr>
        <w:t xml:space="preserve"> The HTWG meets not less than three times a year</w:t>
      </w:r>
      <w:r w:rsidR="00F947EF">
        <w:rPr>
          <w:rFonts w:ascii="Arial" w:hAnsi="Arial" w:cs="Arial"/>
          <w:sz w:val="22"/>
          <w:szCs w:val="22"/>
        </w:rPr>
        <w:t xml:space="preserve"> and is</w:t>
      </w:r>
      <w:r w:rsidR="00B66203">
        <w:rPr>
          <w:rFonts w:ascii="Arial" w:hAnsi="Arial" w:cs="Arial"/>
          <w:sz w:val="22"/>
          <w:szCs w:val="22"/>
        </w:rPr>
        <w:t xml:space="preserve"> supported by the Research Governance Team</w:t>
      </w:r>
      <w:r w:rsidR="001A26F8">
        <w:rPr>
          <w:rFonts w:ascii="Arial" w:hAnsi="Arial" w:cs="Arial"/>
          <w:sz w:val="22"/>
          <w:szCs w:val="22"/>
        </w:rPr>
        <w:t>.</w:t>
      </w:r>
      <w:r w:rsidR="00E533B8">
        <w:rPr>
          <w:rFonts w:ascii="Arial" w:hAnsi="Arial" w:cs="Arial"/>
          <w:sz w:val="22"/>
          <w:szCs w:val="22"/>
        </w:rPr>
        <w:t xml:space="preserve"> </w:t>
      </w:r>
      <w:r w:rsidR="00625913" w:rsidRPr="00943787">
        <w:rPr>
          <w:rFonts w:ascii="Arial" w:hAnsi="Arial" w:cs="Arial"/>
          <w:sz w:val="22"/>
          <w:szCs w:val="22"/>
        </w:rPr>
        <w:t xml:space="preserve">The HTWG reports to the University Ethics of </w:t>
      </w:r>
      <w:r w:rsidRPr="00943787">
        <w:rPr>
          <w:rFonts w:ascii="Arial" w:hAnsi="Arial" w:cs="Arial"/>
          <w:sz w:val="22"/>
          <w:szCs w:val="22"/>
        </w:rPr>
        <w:t>Research Committee</w:t>
      </w:r>
      <w:r w:rsidR="00625913" w:rsidRPr="00943787">
        <w:rPr>
          <w:rFonts w:ascii="Arial" w:hAnsi="Arial" w:cs="Arial"/>
          <w:sz w:val="22"/>
          <w:szCs w:val="22"/>
        </w:rPr>
        <w:t xml:space="preserve">. Further information can be found </w:t>
      </w:r>
      <w:r w:rsidR="00C52E64">
        <w:rPr>
          <w:rFonts w:ascii="Arial" w:hAnsi="Arial" w:cs="Arial"/>
          <w:sz w:val="22"/>
          <w:szCs w:val="22"/>
        </w:rPr>
        <w:t xml:space="preserve">on the </w:t>
      </w:r>
      <w:hyperlink r:id="rId17" w:history="1">
        <w:r w:rsidR="00C52E64" w:rsidRPr="00C52E64">
          <w:rPr>
            <w:rStyle w:val="Hyperlink"/>
            <w:rFonts w:ascii="Arial" w:hAnsi="Arial" w:cs="Arial"/>
            <w:sz w:val="22"/>
            <w:szCs w:val="22"/>
          </w:rPr>
          <w:t>HTWG webpages</w:t>
        </w:r>
      </w:hyperlink>
      <w:r w:rsidR="00C52E64">
        <w:rPr>
          <w:rFonts w:ascii="Arial" w:hAnsi="Arial" w:cs="Arial"/>
          <w:sz w:val="22"/>
          <w:szCs w:val="22"/>
        </w:rPr>
        <w:t>.</w:t>
      </w:r>
    </w:p>
    <w:p w14:paraId="04F9BD7F" w14:textId="77777777" w:rsidR="005D783D" w:rsidRPr="00943787" w:rsidRDefault="005D783D" w:rsidP="00625913">
      <w:pPr>
        <w:jc w:val="both"/>
        <w:rPr>
          <w:rFonts w:ascii="Arial" w:hAnsi="Arial" w:cs="Arial"/>
          <w:sz w:val="22"/>
          <w:szCs w:val="22"/>
        </w:rPr>
      </w:pPr>
    </w:p>
    <w:p w14:paraId="5C9AA64C" w14:textId="77777777" w:rsidR="001B0E03" w:rsidRDefault="001B0E03" w:rsidP="001B0E03">
      <w:pPr>
        <w:rPr>
          <w:rFonts w:ascii="Arial" w:hAnsi="Arial" w:cs="Arial"/>
          <w:b/>
        </w:rPr>
      </w:pPr>
    </w:p>
    <w:p w14:paraId="33EA9ABC" w14:textId="77777777" w:rsidR="001B0E03" w:rsidRPr="004B1EDC" w:rsidRDefault="001B0E03" w:rsidP="001B0E03">
      <w:pPr>
        <w:numPr>
          <w:ilvl w:val="0"/>
          <w:numId w:val="7"/>
        </w:numPr>
        <w:rPr>
          <w:rFonts w:ascii="Arial" w:hAnsi="Arial" w:cs="Arial"/>
          <w:b/>
        </w:rPr>
      </w:pPr>
      <w:r w:rsidRPr="004B1EDC">
        <w:rPr>
          <w:rFonts w:ascii="Arial" w:hAnsi="Arial" w:cs="Arial"/>
          <w:b/>
        </w:rPr>
        <w:t>Training</w:t>
      </w:r>
    </w:p>
    <w:p w14:paraId="4A3EF211" w14:textId="77777777" w:rsidR="001B0E03" w:rsidRDefault="001B0E03" w:rsidP="001B0E03">
      <w:pPr>
        <w:ind w:left="1440"/>
        <w:rPr>
          <w:rFonts w:ascii="Arial" w:hAnsi="Arial" w:cs="Arial"/>
          <w:b/>
        </w:rPr>
      </w:pPr>
    </w:p>
    <w:p w14:paraId="6BD952DC" w14:textId="29F3C136" w:rsidR="001B0E03" w:rsidRDefault="004B1EDC" w:rsidP="001B0E03">
      <w:pPr>
        <w:jc w:val="both"/>
        <w:rPr>
          <w:rFonts w:ascii="Arial" w:hAnsi="Arial" w:cs="Arial"/>
          <w:sz w:val="22"/>
          <w:szCs w:val="22"/>
        </w:rPr>
      </w:pPr>
      <w:r>
        <w:rPr>
          <w:rFonts w:ascii="Arial" w:hAnsi="Arial" w:cs="Arial"/>
          <w:sz w:val="22"/>
          <w:szCs w:val="22"/>
        </w:rPr>
        <w:t xml:space="preserve">Training in principles and application of the HT Act is available in different formats and is delivered by the Research Governance Team or DIs as appropriate. Tailored training is available upon request. </w:t>
      </w:r>
      <w:r w:rsidR="001B0E03">
        <w:rPr>
          <w:rFonts w:ascii="Arial" w:hAnsi="Arial" w:cs="Arial"/>
          <w:sz w:val="22"/>
          <w:szCs w:val="22"/>
        </w:rPr>
        <w:t>It is strongly recommended that members of staff and students working with Relevant Material also complete the MRC</w:t>
      </w:r>
      <w:r w:rsidR="00696337">
        <w:rPr>
          <w:rFonts w:ascii="Arial" w:hAnsi="Arial" w:cs="Arial"/>
          <w:sz w:val="22"/>
          <w:szCs w:val="22"/>
        </w:rPr>
        <w:t xml:space="preserve"> and HRA</w:t>
      </w:r>
      <w:r w:rsidR="001B0E03">
        <w:rPr>
          <w:rFonts w:ascii="Arial" w:hAnsi="Arial" w:cs="Arial"/>
          <w:sz w:val="22"/>
          <w:szCs w:val="22"/>
        </w:rPr>
        <w:t xml:space="preserve"> e-learning course</w:t>
      </w:r>
      <w:r w:rsidR="00696337">
        <w:rPr>
          <w:rFonts w:ascii="Arial" w:hAnsi="Arial" w:cs="Arial"/>
          <w:sz w:val="22"/>
          <w:szCs w:val="22"/>
        </w:rPr>
        <w:t>s</w:t>
      </w:r>
      <w:r w:rsidR="00013F0A">
        <w:rPr>
          <w:rFonts w:ascii="Arial" w:hAnsi="Arial" w:cs="Arial"/>
          <w:sz w:val="22"/>
          <w:szCs w:val="22"/>
        </w:rPr>
        <w:t>:</w:t>
      </w:r>
    </w:p>
    <w:p w14:paraId="3BFFE16A" w14:textId="3F1FC835" w:rsidR="00C52E64" w:rsidRDefault="00C52E64" w:rsidP="001B0E03">
      <w:pPr>
        <w:jc w:val="both"/>
        <w:rPr>
          <w:rFonts w:ascii="Arial" w:hAnsi="Arial" w:cs="Arial"/>
          <w:sz w:val="22"/>
          <w:szCs w:val="22"/>
        </w:rPr>
      </w:pPr>
      <w:hyperlink r:id="rId18" w:history="1">
        <w:r w:rsidRPr="00C52E64">
          <w:rPr>
            <w:rStyle w:val="Hyperlink"/>
            <w:rFonts w:ascii="Arial" w:hAnsi="Arial" w:cs="Arial"/>
            <w:sz w:val="22"/>
            <w:szCs w:val="22"/>
          </w:rPr>
          <w:t>MRC e-learning</w:t>
        </w:r>
      </w:hyperlink>
      <w:r w:rsidR="0022252B">
        <w:rPr>
          <w:rFonts w:ascii="Arial" w:hAnsi="Arial" w:cs="Arial"/>
          <w:sz w:val="22"/>
          <w:szCs w:val="22"/>
        </w:rPr>
        <w:t xml:space="preserve"> </w:t>
      </w:r>
    </w:p>
    <w:p w14:paraId="1D4333D3" w14:textId="47E211F1" w:rsidR="00C52E64" w:rsidRDefault="00C52E64" w:rsidP="001B0E03">
      <w:pPr>
        <w:jc w:val="both"/>
        <w:rPr>
          <w:rFonts w:ascii="Arial" w:hAnsi="Arial" w:cs="Arial"/>
          <w:sz w:val="22"/>
          <w:szCs w:val="22"/>
        </w:rPr>
      </w:pPr>
      <w:hyperlink r:id="rId19" w:history="1">
        <w:r w:rsidRPr="00C52E64">
          <w:rPr>
            <w:rStyle w:val="Hyperlink"/>
            <w:rFonts w:ascii="Arial" w:hAnsi="Arial" w:cs="Arial"/>
            <w:sz w:val="22"/>
            <w:szCs w:val="22"/>
          </w:rPr>
          <w:t>HRA e-learning</w:t>
        </w:r>
      </w:hyperlink>
    </w:p>
    <w:p w14:paraId="0B4CB637" w14:textId="77777777" w:rsidR="001B0E03" w:rsidRDefault="001B0E03" w:rsidP="001B0E03">
      <w:pPr>
        <w:jc w:val="both"/>
        <w:rPr>
          <w:rFonts w:ascii="Arial" w:hAnsi="Arial" w:cs="Arial"/>
          <w:bCs/>
          <w:sz w:val="22"/>
          <w:szCs w:val="22"/>
        </w:rPr>
      </w:pPr>
    </w:p>
    <w:p w14:paraId="18F70BDD" w14:textId="77777777" w:rsidR="001B0E03" w:rsidRDefault="001B0E03" w:rsidP="001B0E03">
      <w:pPr>
        <w:jc w:val="both"/>
        <w:rPr>
          <w:rFonts w:ascii="Arial" w:hAnsi="Arial" w:cs="Arial"/>
          <w:bCs/>
          <w:sz w:val="22"/>
          <w:szCs w:val="22"/>
        </w:rPr>
      </w:pPr>
      <w:r>
        <w:rPr>
          <w:rFonts w:ascii="Arial" w:hAnsi="Arial" w:cs="Arial"/>
          <w:bCs/>
          <w:sz w:val="22"/>
          <w:szCs w:val="22"/>
        </w:rPr>
        <w:t xml:space="preserve">Staff and students involved in seeking consent must be specifically trained in the implications and essential requirements of taking consent. </w:t>
      </w:r>
    </w:p>
    <w:p w14:paraId="588ED362" w14:textId="77777777" w:rsidR="001B0E03" w:rsidRDefault="001B0E03" w:rsidP="001B0E03">
      <w:pPr>
        <w:jc w:val="both"/>
        <w:rPr>
          <w:rFonts w:ascii="Arial" w:hAnsi="Arial" w:cs="Arial"/>
          <w:bCs/>
          <w:sz w:val="22"/>
          <w:szCs w:val="22"/>
        </w:rPr>
      </w:pPr>
    </w:p>
    <w:p w14:paraId="7A5035FB" w14:textId="77777777" w:rsidR="001B0E03" w:rsidRDefault="001B0E03" w:rsidP="001B0E03">
      <w:pPr>
        <w:jc w:val="both"/>
        <w:rPr>
          <w:rFonts w:ascii="Arial" w:hAnsi="Arial" w:cs="Arial"/>
          <w:bCs/>
          <w:sz w:val="22"/>
          <w:szCs w:val="22"/>
        </w:rPr>
      </w:pPr>
      <w:r>
        <w:rPr>
          <w:rFonts w:ascii="Arial" w:hAnsi="Arial" w:cs="Arial"/>
          <w:bCs/>
          <w:sz w:val="22"/>
          <w:szCs w:val="22"/>
        </w:rPr>
        <w:t>Other useful resources include:</w:t>
      </w:r>
    </w:p>
    <w:p w14:paraId="42C76C2E" w14:textId="35F82511" w:rsidR="00C0532F" w:rsidRDefault="00A01420" w:rsidP="00F52960">
      <w:pPr>
        <w:pStyle w:val="ListParagraph"/>
        <w:numPr>
          <w:ilvl w:val="0"/>
          <w:numId w:val="28"/>
        </w:numPr>
        <w:jc w:val="both"/>
        <w:rPr>
          <w:rFonts w:cs="Arial"/>
          <w:bCs/>
          <w:sz w:val="22"/>
          <w:szCs w:val="22"/>
        </w:rPr>
      </w:pPr>
      <w:hyperlink r:id="rId20" w:history="1">
        <w:r w:rsidR="008D3AA5" w:rsidRPr="00A01420">
          <w:rPr>
            <w:rStyle w:val="Hyperlink"/>
            <w:rFonts w:cs="Arial"/>
            <w:bCs/>
            <w:sz w:val="22"/>
            <w:szCs w:val="22"/>
          </w:rPr>
          <w:t>U</w:t>
        </w:r>
        <w:r w:rsidR="00725795">
          <w:rPr>
            <w:rStyle w:val="Hyperlink"/>
            <w:rFonts w:cs="Arial"/>
            <w:bCs/>
            <w:sz w:val="22"/>
            <w:szCs w:val="22"/>
          </w:rPr>
          <w:t>niversity</w:t>
        </w:r>
        <w:r w:rsidR="008D3AA5" w:rsidRPr="00A01420">
          <w:rPr>
            <w:rStyle w:val="Hyperlink"/>
            <w:rFonts w:cs="Arial"/>
            <w:bCs/>
            <w:sz w:val="22"/>
            <w:szCs w:val="22"/>
          </w:rPr>
          <w:t xml:space="preserve"> guidance on </w:t>
        </w:r>
        <w:r w:rsidR="00F24675" w:rsidRPr="00A01420">
          <w:rPr>
            <w:rStyle w:val="Hyperlink"/>
            <w:rFonts w:cs="Arial"/>
            <w:bCs/>
            <w:sz w:val="22"/>
            <w:szCs w:val="22"/>
          </w:rPr>
          <w:t>General</w:t>
        </w:r>
        <w:r w:rsidR="00F24675" w:rsidRPr="00A01420">
          <w:rPr>
            <w:rStyle w:val="Hyperlink"/>
            <w:rFonts w:cs="Arial"/>
            <w:bCs/>
            <w:sz w:val="22"/>
            <w:szCs w:val="22"/>
          </w:rPr>
          <w:t xml:space="preserve"> </w:t>
        </w:r>
        <w:r w:rsidR="00F24675" w:rsidRPr="00A01420">
          <w:rPr>
            <w:rStyle w:val="Hyperlink"/>
            <w:rFonts w:cs="Arial"/>
            <w:bCs/>
            <w:sz w:val="22"/>
            <w:szCs w:val="22"/>
          </w:rPr>
          <w:t>Data Protection Regulation</w:t>
        </w:r>
      </w:hyperlink>
    </w:p>
    <w:bookmarkStart w:id="8" w:name="_Hlk100141846"/>
    <w:p w14:paraId="1E69BE20" w14:textId="2CCA4BA0" w:rsidR="00F31371" w:rsidRPr="00F31371" w:rsidRDefault="00A01420" w:rsidP="00F31371">
      <w:pPr>
        <w:pStyle w:val="ListParagraph"/>
        <w:numPr>
          <w:ilvl w:val="0"/>
          <w:numId w:val="28"/>
        </w:numPr>
        <w:rPr>
          <w:rFonts w:cs="Arial"/>
          <w:bCs/>
          <w:sz w:val="22"/>
          <w:szCs w:val="22"/>
        </w:rPr>
      </w:pPr>
      <w:r>
        <w:rPr>
          <w:rFonts w:cs="Arial"/>
          <w:bCs/>
          <w:sz w:val="22"/>
          <w:szCs w:val="22"/>
        </w:rPr>
        <w:fldChar w:fldCharType="begin"/>
      </w:r>
      <w:r>
        <w:rPr>
          <w:rFonts w:cs="Arial"/>
          <w:bCs/>
          <w:sz w:val="22"/>
          <w:szCs w:val="22"/>
        </w:rPr>
        <w:instrText xml:space="preserve"> HYPERLINK "https://mrc.ukri.org/research/facilities-and-resources-for-researchers/regulatory-support-centre/human-tissue" </w:instrText>
      </w:r>
      <w:r>
        <w:rPr>
          <w:rFonts w:cs="Arial"/>
          <w:bCs/>
          <w:sz w:val="22"/>
          <w:szCs w:val="22"/>
        </w:rPr>
        <w:fldChar w:fldCharType="separate"/>
      </w:r>
      <w:r w:rsidR="00F31371" w:rsidRPr="00A01420">
        <w:rPr>
          <w:rStyle w:val="Hyperlink"/>
          <w:rFonts w:cs="Arial"/>
          <w:bCs/>
          <w:sz w:val="22"/>
          <w:szCs w:val="22"/>
        </w:rPr>
        <w:t>MRC resource</w:t>
      </w:r>
      <w:r w:rsidR="00F31371" w:rsidRPr="00A01420">
        <w:rPr>
          <w:rStyle w:val="Hyperlink"/>
          <w:rFonts w:cs="Arial"/>
          <w:bCs/>
          <w:sz w:val="22"/>
          <w:szCs w:val="22"/>
        </w:rPr>
        <w:t>s</w:t>
      </w:r>
      <w:r w:rsidR="00F31371" w:rsidRPr="00A01420">
        <w:rPr>
          <w:rStyle w:val="Hyperlink"/>
          <w:rFonts w:cs="Arial"/>
          <w:bCs/>
          <w:sz w:val="22"/>
          <w:szCs w:val="22"/>
        </w:rPr>
        <w:t xml:space="preserve"> for use of hum</w:t>
      </w:r>
      <w:r w:rsidR="00F31371" w:rsidRPr="00A01420">
        <w:rPr>
          <w:rStyle w:val="Hyperlink"/>
          <w:rFonts w:cs="Arial"/>
          <w:bCs/>
          <w:sz w:val="22"/>
          <w:szCs w:val="22"/>
        </w:rPr>
        <w:t>a</w:t>
      </w:r>
      <w:r w:rsidR="00F31371" w:rsidRPr="00A01420">
        <w:rPr>
          <w:rStyle w:val="Hyperlink"/>
          <w:rFonts w:cs="Arial"/>
          <w:bCs/>
          <w:sz w:val="22"/>
          <w:szCs w:val="22"/>
        </w:rPr>
        <w:t>n samples in medical research</w:t>
      </w:r>
      <w:r>
        <w:rPr>
          <w:rFonts w:cs="Arial"/>
          <w:bCs/>
          <w:sz w:val="22"/>
          <w:szCs w:val="22"/>
        </w:rPr>
        <w:fldChar w:fldCharType="end"/>
      </w:r>
    </w:p>
    <w:bookmarkEnd w:id="8"/>
    <w:p w14:paraId="0CC8A4E4" w14:textId="32EA147E" w:rsidR="001B0E03" w:rsidRDefault="001B0E03" w:rsidP="001B0E03">
      <w:pPr>
        <w:jc w:val="both"/>
        <w:rPr>
          <w:rFonts w:ascii="Arial" w:hAnsi="Arial" w:cs="Arial"/>
          <w:sz w:val="22"/>
          <w:szCs w:val="22"/>
        </w:rPr>
      </w:pPr>
      <w:r>
        <w:rPr>
          <w:rFonts w:ascii="Arial" w:hAnsi="Arial" w:cs="Arial"/>
          <w:bCs/>
          <w:sz w:val="22"/>
          <w:szCs w:val="22"/>
        </w:rPr>
        <w:t xml:space="preserve">All staff and students working with Relevant Material must keep a record of the training they have received relevant to that work. </w:t>
      </w:r>
      <w:r>
        <w:rPr>
          <w:rFonts w:ascii="Arial" w:hAnsi="Arial" w:cs="Arial"/>
          <w:sz w:val="22"/>
          <w:szCs w:val="22"/>
        </w:rPr>
        <w:t xml:space="preserve">(See appendix </w:t>
      </w:r>
      <w:r w:rsidR="00737DD9">
        <w:rPr>
          <w:rFonts w:ascii="Arial" w:hAnsi="Arial" w:cs="Arial"/>
          <w:sz w:val="22"/>
          <w:szCs w:val="22"/>
        </w:rPr>
        <w:t>B</w:t>
      </w:r>
      <w:r>
        <w:rPr>
          <w:rFonts w:ascii="Arial" w:hAnsi="Arial" w:cs="Arial"/>
          <w:sz w:val="22"/>
          <w:szCs w:val="22"/>
        </w:rPr>
        <w:t xml:space="preserve"> for </w:t>
      </w:r>
      <w:r w:rsidR="00770AE2">
        <w:rPr>
          <w:rFonts w:ascii="Arial" w:hAnsi="Arial" w:cs="Arial"/>
          <w:sz w:val="22"/>
          <w:szCs w:val="22"/>
        </w:rPr>
        <w:t>an example</w:t>
      </w:r>
      <w:r>
        <w:rPr>
          <w:rFonts w:ascii="Arial" w:hAnsi="Arial" w:cs="Arial"/>
          <w:sz w:val="22"/>
          <w:szCs w:val="22"/>
        </w:rPr>
        <w:t xml:space="preserve">). </w:t>
      </w:r>
    </w:p>
    <w:p w14:paraId="086A7322" w14:textId="77777777" w:rsidR="00F20A17" w:rsidRDefault="00F20A17">
      <w:pPr>
        <w:rPr>
          <w:rFonts w:ascii="Arial" w:hAnsi="Arial" w:cs="Arial"/>
          <w:b/>
        </w:rPr>
      </w:pPr>
    </w:p>
    <w:p w14:paraId="76CF8A95" w14:textId="77777777" w:rsidR="00F20A17" w:rsidRDefault="00F20A17">
      <w:pPr>
        <w:rPr>
          <w:rFonts w:ascii="Arial" w:hAnsi="Arial" w:cs="Arial"/>
          <w:b/>
        </w:rPr>
      </w:pPr>
    </w:p>
    <w:p w14:paraId="13046EEB" w14:textId="59210083" w:rsidR="00F20A17" w:rsidRPr="005D0531" w:rsidRDefault="00F20A17" w:rsidP="005D0531">
      <w:pPr>
        <w:pStyle w:val="Heading1"/>
        <w:numPr>
          <w:ilvl w:val="0"/>
          <w:numId w:val="41"/>
        </w:numPr>
        <w:jc w:val="left"/>
      </w:pPr>
      <w:bookmarkStart w:id="9" w:name="_Toc417640710"/>
      <w:bookmarkStart w:id="10" w:name="_Toc417640764"/>
      <w:r w:rsidRPr="005D0531">
        <w:rPr>
          <w:bCs w:val="0"/>
        </w:rPr>
        <w:t xml:space="preserve">What do I need to know about </w:t>
      </w:r>
      <w:r w:rsidR="008C3EF5">
        <w:rPr>
          <w:bCs w:val="0"/>
        </w:rPr>
        <w:t>L</w:t>
      </w:r>
      <w:r w:rsidRPr="005D0531">
        <w:rPr>
          <w:bCs w:val="0"/>
        </w:rPr>
        <w:t>icences and consent?</w:t>
      </w:r>
      <w:bookmarkEnd w:id="9"/>
      <w:bookmarkEnd w:id="10"/>
    </w:p>
    <w:p w14:paraId="2C1FD95B" w14:textId="77777777" w:rsidR="00F20A17" w:rsidRDefault="00F20A17">
      <w:pPr>
        <w:rPr>
          <w:rFonts w:ascii="Arial" w:hAnsi="Arial" w:cs="Arial"/>
          <w:b/>
        </w:rPr>
      </w:pPr>
    </w:p>
    <w:p w14:paraId="6F41EF2F" w14:textId="77777777" w:rsidR="00F20A17" w:rsidRDefault="00F20A17">
      <w:pPr>
        <w:pStyle w:val="BodyText"/>
        <w:jc w:val="both"/>
        <w:rPr>
          <w:bCs/>
        </w:rPr>
      </w:pPr>
      <w:r>
        <w:rPr>
          <w:bCs/>
        </w:rPr>
        <w:t xml:space="preserve">Where a member of the University’s staff or any students intend to undertake work or research involving the storage and use of </w:t>
      </w:r>
      <w:r>
        <w:rPr>
          <w:szCs w:val="22"/>
        </w:rPr>
        <w:t>Relevant Material</w:t>
      </w:r>
      <w:r>
        <w:rPr>
          <w:bCs/>
        </w:rPr>
        <w:t xml:space="preserve"> from the living or the removal</w:t>
      </w:r>
      <w:r w:rsidR="004D04A5">
        <w:rPr>
          <w:bCs/>
        </w:rPr>
        <w:t>,</w:t>
      </w:r>
      <w:r>
        <w:rPr>
          <w:bCs/>
        </w:rPr>
        <w:t xml:space="preserve"> </w:t>
      </w:r>
      <w:proofErr w:type="gramStart"/>
      <w:r>
        <w:rPr>
          <w:bCs/>
        </w:rPr>
        <w:t>storage</w:t>
      </w:r>
      <w:proofErr w:type="gramEnd"/>
      <w:r>
        <w:rPr>
          <w:bCs/>
        </w:rPr>
        <w:t xml:space="preserve"> and use of </w:t>
      </w:r>
      <w:r>
        <w:rPr>
          <w:szCs w:val="22"/>
        </w:rPr>
        <w:t>Relevant Material</w:t>
      </w:r>
      <w:r>
        <w:rPr>
          <w:bCs/>
        </w:rPr>
        <w:t xml:space="preserve"> from the deceased they must </w:t>
      </w:r>
      <w:r w:rsidR="00F727F5">
        <w:rPr>
          <w:bCs/>
        </w:rPr>
        <w:t>consider the following</w:t>
      </w:r>
      <w:r>
        <w:rPr>
          <w:bCs/>
        </w:rPr>
        <w:t>:</w:t>
      </w:r>
    </w:p>
    <w:p w14:paraId="4F81D390" w14:textId="77777777" w:rsidR="006840A1" w:rsidRDefault="00F727F5" w:rsidP="00F52960">
      <w:pPr>
        <w:pStyle w:val="BodyText"/>
        <w:numPr>
          <w:ilvl w:val="0"/>
          <w:numId w:val="14"/>
        </w:numPr>
        <w:jc w:val="both"/>
        <w:rPr>
          <w:bCs/>
        </w:rPr>
      </w:pPr>
      <w:r>
        <w:rPr>
          <w:bCs/>
        </w:rPr>
        <w:t xml:space="preserve">whether there is a requirement </w:t>
      </w:r>
      <w:r w:rsidR="00F20A17">
        <w:rPr>
          <w:bCs/>
        </w:rPr>
        <w:t xml:space="preserve">to be </w:t>
      </w:r>
      <w:proofErr w:type="gramStart"/>
      <w:r w:rsidR="00F20A17">
        <w:rPr>
          <w:bCs/>
        </w:rPr>
        <w:t>licensed</w:t>
      </w:r>
      <w:r>
        <w:rPr>
          <w:bCs/>
        </w:rPr>
        <w:t>;</w:t>
      </w:r>
      <w:proofErr w:type="gramEnd"/>
      <w:r w:rsidR="004D79F4">
        <w:rPr>
          <w:bCs/>
        </w:rPr>
        <w:t xml:space="preserve"> </w:t>
      </w:r>
    </w:p>
    <w:p w14:paraId="429E0DF5" w14:textId="77777777" w:rsidR="00F20A17" w:rsidRDefault="00F727F5" w:rsidP="00F52960">
      <w:pPr>
        <w:pStyle w:val="BodyText"/>
        <w:numPr>
          <w:ilvl w:val="0"/>
          <w:numId w:val="14"/>
        </w:numPr>
        <w:jc w:val="both"/>
        <w:rPr>
          <w:bCs/>
        </w:rPr>
      </w:pPr>
      <w:r>
        <w:rPr>
          <w:bCs/>
        </w:rPr>
        <w:t xml:space="preserve">the requirements </w:t>
      </w:r>
      <w:r w:rsidR="00F20A17">
        <w:rPr>
          <w:bCs/>
        </w:rPr>
        <w:t>for consent</w:t>
      </w:r>
      <w:r>
        <w:rPr>
          <w:bCs/>
        </w:rPr>
        <w:t>.</w:t>
      </w:r>
    </w:p>
    <w:p w14:paraId="448A5741" w14:textId="77777777" w:rsidR="00F20A17" w:rsidRDefault="00F20A17">
      <w:pPr>
        <w:pStyle w:val="BodyText"/>
        <w:jc w:val="both"/>
        <w:rPr>
          <w:bCs/>
        </w:rPr>
      </w:pPr>
    </w:p>
    <w:p w14:paraId="0A423DFF" w14:textId="38416A48" w:rsidR="00F20A17" w:rsidRDefault="00F20A17">
      <w:pPr>
        <w:pStyle w:val="BodyText"/>
        <w:jc w:val="both"/>
      </w:pPr>
      <w:r>
        <w:t>Flow charts</w:t>
      </w:r>
      <w:r w:rsidR="00262440">
        <w:t xml:space="preserve"> available in the </w:t>
      </w:r>
      <w:hyperlink r:id="rId21" w:history="1">
        <w:r w:rsidR="00262440" w:rsidRPr="001B4353">
          <w:rPr>
            <w:rStyle w:val="Hyperlink"/>
            <w:szCs w:val="22"/>
          </w:rPr>
          <w:t>HTA</w:t>
        </w:r>
        <w:r w:rsidR="00262440" w:rsidRPr="001B4353">
          <w:rPr>
            <w:rStyle w:val="Hyperlink"/>
            <w:szCs w:val="22"/>
          </w:rPr>
          <w:t xml:space="preserve"> </w:t>
        </w:r>
        <w:r w:rsidR="00262440" w:rsidRPr="001B4353">
          <w:rPr>
            <w:rStyle w:val="Hyperlink"/>
            <w:szCs w:val="22"/>
          </w:rPr>
          <w:t>Code</w:t>
        </w:r>
        <w:r w:rsidR="001B4353" w:rsidRPr="001B4353">
          <w:rPr>
            <w:rStyle w:val="Hyperlink"/>
            <w:szCs w:val="22"/>
          </w:rPr>
          <w:t xml:space="preserve"> E: Research</w:t>
        </w:r>
      </w:hyperlink>
      <w:r w:rsidR="00262440">
        <w:rPr>
          <w:szCs w:val="22"/>
        </w:rPr>
        <w:t xml:space="preserve"> </w:t>
      </w:r>
      <w:r>
        <w:t xml:space="preserve">will assist in determining </w:t>
      </w:r>
      <w:r w:rsidR="008C3EF5">
        <w:t>L</w:t>
      </w:r>
      <w:r>
        <w:t>icence and consent requirements</w:t>
      </w:r>
      <w:r w:rsidR="00F67157">
        <w:t>.</w:t>
      </w:r>
      <w:r w:rsidR="00AC281C">
        <w:t xml:space="preserve"> </w:t>
      </w:r>
    </w:p>
    <w:p w14:paraId="2A5109E6" w14:textId="77777777" w:rsidR="001426FE" w:rsidRDefault="001426FE">
      <w:pPr>
        <w:pStyle w:val="BodyText"/>
        <w:jc w:val="both"/>
      </w:pPr>
    </w:p>
    <w:p w14:paraId="35CC3262" w14:textId="77777777" w:rsidR="008E1D83" w:rsidRDefault="008E1D83">
      <w:pPr>
        <w:rPr>
          <w:rFonts w:ascii="Arial" w:hAnsi="Arial" w:cs="Arial"/>
          <w:b/>
          <w:bCs/>
        </w:rPr>
      </w:pPr>
      <w:bookmarkStart w:id="11" w:name="_Toc417640711"/>
      <w:bookmarkStart w:id="12" w:name="_Toc417640765"/>
      <w:r>
        <w:br w:type="page"/>
      </w:r>
    </w:p>
    <w:p w14:paraId="5F1D45C8" w14:textId="32991520" w:rsidR="00B52CFD" w:rsidRPr="005D0531" w:rsidRDefault="009B76C8" w:rsidP="005D0531">
      <w:pPr>
        <w:pStyle w:val="Heading1"/>
        <w:numPr>
          <w:ilvl w:val="0"/>
          <w:numId w:val="0"/>
        </w:numPr>
        <w:jc w:val="left"/>
      </w:pPr>
      <w:r>
        <w:lastRenderedPageBreak/>
        <w:t xml:space="preserve">Part B: working under a </w:t>
      </w:r>
      <w:r w:rsidR="009A26F9">
        <w:t>L</w:t>
      </w:r>
      <w:r>
        <w:t>icence</w:t>
      </w:r>
      <w:bookmarkEnd w:id="11"/>
      <w:bookmarkEnd w:id="12"/>
      <w:r>
        <w:t xml:space="preserve"> </w:t>
      </w:r>
    </w:p>
    <w:p w14:paraId="010AE0FD" w14:textId="77777777" w:rsidR="00B52CFD" w:rsidRDefault="00B52CFD">
      <w:pPr>
        <w:jc w:val="both"/>
        <w:rPr>
          <w:rFonts w:ascii="Arial" w:hAnsi="Arial" w:cs="Arial"/>
          <w:b/>
          <w:sz w:val="22"/>
          <w:szCs w:val="22"/>
          <w:highlight w:val="yellow"/>
        </w:rPr>
      </w:pPr>
    </w:p>
    <w:p w14:paraId="1966051B" w14:textId="77777777" w:rsidR="00B52CFD" w:rsidRDefault="009B76C8" w:rsidP="00760125">
      <w:pPr>
        <w:pStyle w:val="BodyText"/>
        <w:numPr>
          <w:ilvl w:val="0"/>
          <w:numId w:val="29"/>
        </w:numPr>
        <w:jc w:val="both"/>
        <w:rPr>
          <w:b/>
          <w:bCs/>
          <w:sz w:val="24"/>
        </w:rPr>
      </w:pPr>
      <w:r>
        <w:rPr>
          <w:b/>
          <w:bCs/>
          <w:sz w:val="24"/>
        </w:rPr>
        <w:t xml:space="preserve">Introduction </w:t>
      </w:r>
    </w:p>
    <w:p w14:paraId="79DEA350" w14:textId="77777777" w:rsidR="00B52CFD" w:rsidRDefault="00B52CFD" w:rsidP="00B52CFD">
      <w:pPr>
        <w:pStyle w:val="BodyText"/>
        <w:jc w:val="both"/>
        <w:rPr>
          <w:b/>
          <w:bCs/>
          <w:sz w:val="24"/>
        </w:rPr>
      </w:pPr>
    </w:p>
    <w:p w14:paraId="6D2C3CD7" w14:textId="56243FD3" w:rsidR="007318A1" w:rsidRDefault="005F247D" w:rsidP="007318A1">
      <w:pPr>
        <w:pStyle w:val="BodyText"/>
        <w:jc w:val="both"/>
        <w:rPr>
          <w:bCs/>
        </w:rPr>
      </w:pPr>
      <w:r>
        <w:rPr>
          <w:bCs/>
        </w:rPr>
        <w:t>L</w:t>
      </w:r>
      <w:r w:rsidR="007318A1">
        <w:rPr>
          <w:bCs/>
        </w:rPr>
        <w:t xml:space="preserve">icences cover specific premises and are not University wide. You </w:t>
      </w:r>
      <w:r w:rsidR="00326C04">
        <w:rPr>
          <w:bCs/>
        </w:rPr>
        <w:t xml:space="preserve">must </w:t>
      </w:r>
      <w:r w:rsidR="006F7AE4">
        <w:rPr>
          <w:bCs/>
        </w:rPr>
        <w:t>store</w:t>
      </w:r>
      <w:r w:rsidR="007318A1">
        <w:rPr>
          <w:bCs/>
        </w:rPr>
        <w:t xml:space="preserve"> </w:t>
      </w:r>
      <w:r w:rsidR="007318A1">
        <w:rPr>
          <w:szCs w:val="22"/>
        </w:rPr>
        <w:t>Relevant Material</w:t>
      </w:r>
      <w:r w:rsidR="007318A1">
        <w:rPr>
          <w:bCs/>
        </w:rPr>
        <w:t xml:space="preserve"> for </w:t>
      </w:r>
      <w:r w:rsidR="00112A24">
        <w:rPr>
          <w:bCs/>
        </w:rPr>
        <w:t>S</w:t>
      </w:r>
      <w:r w:rsidR="007318A1">
        <w:rPr>
          <w:bCs/>
        </w:rPr>
        <w:t xml:space="preserve">cheduled </w:t>
      </w:r>
      <w:r w:rsidR="00112A24">
        <w:rPr>
          <w:bCs/>
        </w:rPr>
        <w:t>P</w:t>
      </w:r>
      <w:r w:rsidR="007318A1">
        <w:rPr>
          <w:bCs/>
        </w:rPr>
        <w:t>urposes</w:t>
      </w:r>
      <w:r w:rsidR="0099652B">
        <w:rPr>
          <w:bCs/>
        </w:rPr>
        <w:t xml:space="preserve">, </w:t>
      </w:r>
      <w:proofErr w:type="gramStart"/>
      <w:r w:rsidR="0099652B">
        <w:rPr>
          <w:bCs/>
        </w:rPr>
        <w:t>e.g.</w:t>
      </w:r>
      <w:proofErr w:type="gramEnd"/>
      <w:r w:rsidR="0099652B">
        <w:rPr>
          <w:bCs/>
        </w:rPr>
        <w:t xml:space="preserve"> research,</w:t>
      </w:r>
      <w:r w:rsidR="007318A1">
        <w:rPr>
          <w:bCs/>
        </w:rPr>
        <w:t xml:space="preserve"> </w:t>
      </w:r>
      <w:r w:rsidR="00F76737">
        <w:rPr>
          <w:bCs/>
        </w:rPr>
        <w:t xml:space="preserve">only </w:t>
      </w:r>
      <w:r w:rsidR="007318A1">
        <w:rPr>
          <w:bCs/>
        </w:rPr>
        <w:t xml:space="preserve">on </w:t>
      </w:r>
      <w:r w:rsidR="00F76737">
        <w:rPr>
          <w:bCs/>
        </w:rPr>
        <w:t xml:space="preserve">HTA </w:t>
      </w:r>
      <w:r w:rsidR="007318A1">
        <w:rPr>
          <w:bCs/>
        </w:rPr>
        <w:t xml:space="preserve">licensed premises unless an </w:t>
      </w:r>
      <w:r w:rsidR="007318A1" w:rsidRPr="00DB2886">
        <w:rPr>
          <w:b/>
          <w:bCs/>
        </w:rPr>
        <w:t>exemption applies</w:t>
      </w:r>
      <w:r w:rsidR="007318A1">
        <w:rPr>
          <w:b/>
          <w:bCs/>
        </w:rPr>
        <w:t xml:space="preserve"> </w:t>
      </w:r>
      <w:r w:rsidR="007318A1" w:rsidRPr="007318A1">
        <w:rPr>
          <w:bCs/>
        </w:rPr>
        <w:t>(</w:t>
      </w:r>
      <w:r w:rsidR="0087309A">
        <w:rPr>
          <w:bCs/>
        </w:rPr>
        <w:t xml:space="preserve">see </w:t>
      </w:r>
      <w:r w:rsidR="007318A1" w:rsidRPr="007318A1">
        <w:rPr>
          <w:bCs/>
        </w:rPr>
        <w:t>P</w:t>
      </w:r>
      <w:r w:rsidR="007318A1">
        <w:rPr>
          <w:bCs/>
        </w:rPr>
        <w:t>art C).</w:t>
      </w:r>
    </w:p>
    <w:p w14:paraId="5527079B" w14:textId="77777777" w:rsidR="000C222A" w:rsidRPr="00B52CFD" w:rsidRDefault="000C222A" w:rsidP="00B52CFD">
      <w:pPr>
        <w:pStyle w:val="BodyText"/>
        <w:jc w:val="both"/>
        <w:rPr>
          <w:b/>
          <w:bCs/>
          <w:sz w:val="24"/>
        </w:rPr>
      </w:pPr>
    </w:p>
    <w:p w14:paraId="555B96C1" w14:textId="77777777" w:rsidR="00B52CFD" w:rsidRDefault="00B52CFD" w:rsidP="00760125">
      <w:pPr>
        <w:numPr>
          <w:ilvl w:val="1"/>
          <w:numId w:val="29"/>
        </w:numPr>
        <w:rPr>
          <w:rFonts w:ascii="Arial" w:hAnsi="Arial" w:cs="Arial"/>
          <w:b/>
        </w:rPr>
      </w:pPr>
      <w:r>
        <w:rPr>
          <w:rFonts w:ascii="Arial" w:hAnsi="Arial" w:cs="Arial"/>
          <w:b/>
        </w:rPr>
        <w:t>Terms of Licence</w:t>
      </w:r>
    </w:p>
    <w:p w14:paraId="35B354F6" w14:textId="77777777" w:rsidR="00B52CFD" w:rsidRDefault="00B52CFD" w:rsidP="00B52CFD">
      <w:pPr>
        <w:rPr>
          <w:rFonts w:ascii="Arial" w:hAnsi="Arial" w:cs="Arial"/>
          <w:b/>
        </w:rPr>
      </w:pPr>
    </w:p>
    <w:p w14:paraId="3BCF3BF5" w14:textId="4F983C01" w:rsidR="00B52CFD" w:rsidRDefault="00B52CFD" w:rsidP="00B52CFD">
      <w:pPr>
        <w:jc w:val="both"/>
        <w:rPr>
          <w:rFonts w:ascii="Arial" w:hAnsi="Arial" w:cs="Arial"/>
          <w:bCs/>
          <w:sz w:val="22"/>
          <w:szCs w:val="22"/>
        </w:rPr>
      </w:pPr>
      <w:r>
        <w:rPr>
          <w:rFonts w:ascii="Arial" w:hAnsi="Arial" w:cs="Arial"/>
          <w:sz w:val="22"/>
          <w:szCs w:val="22"/>
        </w:rPr>
        <w:t xml:space="preserve">The University is the LH with defined responsibilities under the HT Act. </w:t>
      </w:r>
      <w:r>
        <w:rPr>
          <w:rFonts w:ascii="Arial" w:hAnsi="Arial" w:cs="Arial"/>
          <w:bCs/>
          <w:sz w:val="22"/>
          <w:szCs w:val="22"/>
        </w:rPr>
        <w:t xml:space="preserve">The original </w:t>
      </w:r>
      <w:r w:rsidR="005F247D">
        <w:rPr>
          <w:rFonts w:ascii="Arial" w:hAnsi="Arial" w:cs="Arial"/>
          <w:bCs/>
          <w:sz w:val="22"/>
          <w:szCs w:val="22"/>
        </w:rPr>
        <w:t>L</w:t>
      </w:r>
      <w:r>
        <w:rPr>
          <w:rFonts w:ascii="Arial" w:hAnsi="Arial" w:cs="Arial"/>
          <w:bCs/>
          <w:sz w:val="22"/>
          <w:szCs w:val="22"/>
        </w:rPr>
        <w:t xml:space="preserve">icences are held by the </w:t>
      </w:r>
      <w:r w:rsidR="00AA56C7">
        <w:rPr>
          <w:rFonts w:ascii="Arial" w:hAnsi="Arial" w:cs="Arial"/>
          <w:bCs/>
          <w:sz w:val="22"/>
          <w:szCs w:val="22"/>
        </w:rPr>
        <w:t>Research Governance Team</w:t>
      </w:r>
      <w:r>
        <w:rPr>
          <w:rFonts w:ascii="Arial" w:hAnsi="Arial" w:cs="Arial"/>
          <w:bCs/>
          <w:sz w:val="22"/>
          <w:szCs w:val="22"/>
        </w:rPr>
        <w:t>.</w:t>
      </w:r>
    </w:p>
    <w:p w14:paraId="183BF0A3" w14:textId="77777777" w:rsidR="00B52CFD" w:rsidRDefault="00B52CFD" w:rsidP="00B52CFD">
      <w:pPr>
        <w:rPr>
          <w:rFonts w:ascii="Arial" w:hAnsi="Arial" w:cs="Arial"/>
          <w:b/>
        </w:rPr>
      </w:pPr>
    </w:p>
    <w:p w14:paraId="4E8B4D65" w14:textId="120A23E7" w:rsidR="00B52CFD" w:rsidRDefault="00B52CFD" w:rsidP="00B52CFD">
      <w:pPr>
        <w:jc w:val="both"/>
        <w:rPr>
          <w:rFonts w:ascii="Arial" w:hAnsi="Arial" w:cs="Arial"/>
          <w:bCs/>
          <w:sz w:val="22"/>
          <w:szCs w:val="22"/>
        </w:rPr>
      </w:pPr>
      <w:r>
        <w:rPr>
          <w:rFonts w:ascii="Arial" w:hAnsi="Arial" w:cs="Arial"/>
          <w:sz w:val="22"/>
          <w:szCs w:val="22"/>
        </w:rPr>
        <w:t xml:space="preserve">Copies of </w:t>
      </w:r>
      <w:r w:rsidR="005F247D">
        <w:rPr>
          <w:rFonts w:ascii="Arial" w:hAnsi="Arial" w:cs="Arial"/>
          <w:sz w:val="22"/>
          <w:szCs w:val="22"/>
        </w:rPr>
        <w:t>L</w:t>
      </w:r>
      <w:r>
        <w:rPr>
          <w:rFonts w:ascii="Arial" w:hAnsi="Arial" w:cs="Arial"/>
          <w:sz w:val="22"/>
          <w:szCs w:val="22"/>
        </w:rPr>
        <w:t xml:space="preserve">icences must be displayed at the licensed premises to which each </w:t>
      </w:r>
      <w:r w:rsidR="005F247D">
        <w:rPr>
          <w:rFonts w:ascii="Arial" w:hAnsi="Arial" w:cs="Arial"/>
          <w:sz w:val="22"/>
          <w:szCs w:val="22"/>
        </w:rPr>
        <w:t>L</w:t>
      </w:r>
      <w:r>
        <w:rPr>
          <w:rFonts w:ascii="Arial" w:hAnsi="Arial" w:cs="Arial"/>
          <w:sz w:val="22"/>
          <w:szCs w:val="22"/>
        </w:rPr>
        <w:t xml:space="preserve">icence relates. </w:t>
      </w:r>
      <w:r>
        <w:rPr>
          <w:rFonts w:ascii="Arial" w:hAnsi="Arial" w:cs="Arial"/>
          <w:bCs/>
          <w:sz w:val="22"/>
          <w:szCs w:val="22"/>
        </w:rPr>
        <w:t xml:space="preserve">It is the responsibility of staff and students to note the terms of the </w:t>
      </w:r>
      <w:r w:rsidR="005F247D">
        <w:rPr>
          <w:rFonts w:ascii="Arial" w:hAnsi="Arial" w:cs="Arial"/>
          <w:bCs/>
          <w:sz w:val="22"/>
          <w:szCs w:val="22"/>
        </w:rPr>
        <w:t>L</w:t>
      </w:r>
      <w:r>
        <w:rPr>
          <w:rFonts w:ascii="Arial" w:hAnsi="Arial" w:cs="Arial"/>
          <w:bCs/>
          <w:sz w:val="22"/>
          <w:szCs w:val="22"/>
        </w:rPr>
        <w:t>icence, including any special conditions applicable to their area of activity.</w:t>
      </w:r>
    </w:p>
    <w:p w14:paraId="390D7888" w14:textId="77777777" w:rsidR="00D822F0" w:rsidRDefault="00D822F0" w:rsidP="00B52CFD">
      <w:pPr>
        <w:rPr>
          <w:rFonts w:ascii="Arial" w:hAnsi="Arial" w:cs="Arial"/>
          <w:b/>
        </w:rPr>
      </w:pPr>
    </w:p>
    <w:p w14:paraId="10BE61A9" w14:textId="77777777" w:rsidR="00B52CFD" w:rsidRDefault="00B52CFD" w:rsidP="00760125">
      <w:pPr>
        <w:numPr>
          <w:ilvl w:val="1"/>
          <w:numId w:val="29"/>
        </w:numPr>
        <w:rPr>
          <w:rFonts w:ascii="Arial" w:hAnsi="Arial" w:cs="Arial"/>
          <w:b/>
        </w:rPr>
      </w:pPr>
      <w:r>
        <w:rPr>
          <w:rFonts w:ascii="Arial" w:hAnsi="Arial" w:cs="Arial"/>
          <w:b/>
        </w:rPr>
        <w:t>Licence fees</w:t>
      </w:r>
    </w:p>
    <w:p w14:paraId="72B54E22" w14:textId="77777777" w:rsidR="00B52CFD" w:rsidRDefault="00B52CFD" w:rsidP="00B52CFD">
      <w:pPr>
        <w:rPr>
          <w:rFonts w:ascii="Arial" w:hAnsi="Arial" w:cs="Arial"/>
          <w:b/>
        </w:rPr>
      </w:pPr>
    </w:p>
    <w:p w14:paraId="308361F8" w14:textId="7FDDC32C" w:rsidR="00B52CFD" w:rsidRDefault="001F5C30" w:rsidP="00B52CFD">
      <w:pPr>
        <w:jc w:val="both"/>
        <w:rPr>
          <w:rFonts w:ascii="Arial" w:hAnsi="Arial" w:cs="Arial"/>
          <w:sz w:val="22"/>
          <w:szCs w:val="22"/>
        </w:rPr>
      </w:pPr>
      <w:r>
        <w:rPr>
          <w:rFonts w:ascii="Arial" w:hAnsi="Arial" w:cs="Arial"/>
          <w:sz w:val="22"/>
          <w:szCs w:val="22"/>
        </w:rPr>
        <w:t xml:space="preserve">Licence fees are paid </w:t>
      </w:r>
      <w:r w:rsidR="002A3993">
        <w:rPr>
          <w:rFonts w:ascii="Arial" w:hAnsi="Arial" w:cs="Arial"/>
          <w:sz w:val="22"/>
          <w:szCs w:val="22"/>
        </w:rPr>
        <w:t>annually,</w:t>
      </w:r>
      <w:r>
        <w:rPr>
          <w:rFonts w:ascii="Arial" w:hAnsi="Arial" w:cs="Arial"/>
          <w:sz w:val="22"/>
          <w:szCs w:val="22"/>
        </w:rPr>
        <w:t xml:space="preserve"> and current fees are displayed on the HTA website. </w:t>
      </w:r>
    </w:p>
    <w:p w14:paraId="3B52250F" w14:textId="77777777" w:rsidR="00B52CFD" w:rsidRDefault="00B52CFD">
      <w:pPr>
        <w:jc w:val="both"/>
        <w:rPr>
          <w:rFonts w:ascii="Arial" w:hAnsi="Arial" w:cs="Arial"/>
          <w:b/>
          <w:sz w:val="22"/>
          <w:szCs w:val="22"/>
          <w:highlight w:val="yellow"/>
        </w:rPr>
      </w:pPr>
    </w:p>
    <w:p w14:paraId="5964929B" w14:textId="77777777" w:rsidR="00B52CFD" w:rsidRDefault="00B52CFD" w:rsidP="00B52CFD">
      <w:pPr>
        <w:rPr>
          <w:rFonts w:ascii="Arial" w:hAnsi="Arial" w:cs="Arial"/>
          <w:b/>
        </w:rPr>
      </w:pPr>
    </w:p>
    <w:p w14:paraId="02591C34" w14:textId="77777777" w:rsidR="00B52CFD" w:rsidRPr="00B52CFD" w:rsidRDefault="00B52CFD" w:rsidP="00760125">
      <w:pPr>
        <w:pStyle w:val="BodyText"/>
        <w:numPr>
          <w:ilvl w:val="0"/>
          <w:numId w:val="29"/>
        </w:numPr>
        <w:jc w:val="both"/>
        <w:rPr>
          <w:b/>
          <w:bCs/>
          <w:sz w:val="24"/>
        </w:rPr>
      </w:pPr>
      <w:r w:rsidRPr="00B52CFD">
        <w:rPr>
          <w:b/>
          <w:bCs/>
          <w:sz w:val="24"/>
        </w:rPr>
        <w:t>The role of the Designated Individuals</w:t>
      </w:r>
    </w:p>
    <w:p w14:paraId="2F9BACD7" w14:textId="77777777" w:rsidR="00B52CFD" w:rsidRDefault="00B52CFD" w:rsidP="00B52CFD">
      <w:pPr>
        <w:rPr>
          <w:rFonts w:ascii="Arial" w:hAnsi="Arial" w:cs="Arial"/>
          <w:b/>
        </w:rPr>
      </w:pPr>
    </w:p>
    <w:p w14:paraId="0242858F" w14:textId="638711F6" w:rsidR="00B52CFD" w:rsidRDefault="006242F1" w:rsidP="00B52CFD">
      <w:pPr>
        <w:jc w:val="both"/>
        <w:rPr>
          <w:rFonts w:ascii="Arial" w:hAnsi="Arial" w:cs="Arial"/>
          <w:sz w:val="22"/>
          <w:szCs w:val="22"/>
        </w:rPr>
      </w:pPr>
      <w:r>
        <w:rPr>
          <w:rFonts w:ascii="Arial" w:hAnsi="Arial" w:cs="Arial"/>
          <w:sz w:val="22"/>
          <w:szCs w:val="22"/>
        </w:rPr>
        <w:t xml:space="preserve">In relation to a </w:t>
      </w:r>
      <w:r w:rsidR="005F247D">
        <w:rPr>
          <w:rFonts w:ascii="Arial" w:hAnsi="Arial" w:cs="Arial"/>
          <w:sz w:val="22"/>
          <w:szCs w:val="22"/>
        </w:rPr>
        <w:t>L</w:t>
      </w:r>
      <w:r>
        <w:rPr>
          <w:rFonts w:ascii="Arial" w:hAnsi="Arial" w:cs="Arial"/>
          <w:sz w:val="22"/>
          <w:szCs w:val="22"/>
        </w:rPr>
        <w:t>icence under the HT Act, a</w:t>
      </w:r>
      <w:r w:rsidR="00B52CFD">
        <w:rPr>
          <w:rFonts w:ascii="Arial" w:hAnsi="Arial" w:cs="Arial"/>
          <w:sz w:val="22"/>
          <w:szCs w:val="22"/>
        </w:rPr>
        <w:t xml:space="preserve"> DI means the person under whose supervision the licensed activity is authorised to be carried on.</w:t>
      </w:r>
    </w:p>
    <w:p w14:paraId="4D0A7413" w14:textId="77777777" w:rsidR="00B52CFD" w:rsidRDefault="00B52CFD" w:rsidP="00B52CFD">
      <w:pPr>
        <w:rPr>
          <w:rFonts w:ascii="Arial" w:hAnsi="Arial" w:cs="Arial"/>
          <w:b/>
        </w:rPr>
      </w:pPr>
    </w:p>
    <w:p w14:paraId="2513CE6E" w14:textId="77777777" w:rsidR="00B52CFD" w:rsidRDefault="00B52CFD" w:rsidP="00B52CFD">
      <w:pPr>
        <w:numPr>
          <w:ilvl w:val="0"/>
          <w:numId w:val="2"/>
        </w:numPr>
        <w:rPr>
          <w:rFonts w:ascii="Arial" w:hAnsi="Arial" w:cs="Arial"/>
          <w:b/>
        </w:rPr>
      </w:pPr>
      <w:r>
        <w:rPr>
          <w:rFonts w:ascii="Arial" w:hAnsi="Arial" w:cs="Arial"/>
          <w:b/>
        </w:rPr>
        <w:t xml:space="preserve">Appointment </w:t>
      </w:r>
      <w:r w:rsidR="00710181">
        <w:rPr>
          <w:rFonts w:ascii="Arial" w:hAnsi="Arial" w:cs="Arial"/>
          <w:b/>
        </w:rPr>
        <w:t xml:space="preserve">and training </w:t>
      </w:r>
      <w:r>
        <w:rPr>
          <w:rFonts w:ascii="Arial" w:hAnsi="Arial" w:cs="Arial"/>
          <w:b/>
        </w:rPr>
        <w:t>of DI</w:t>
      </w:r>
      <w:r w:rsidR="00710181">
        <w:rPr>
          <w:rFonts w:ascii="Arial" w:hAnsi="Arial" w:cs="Arial"/>
          <w:b/>
        </w:rPr>
        <w:t>s</w:t>
      </w:r>
    </w:p>
    <w:p w14:paraId="03E30E0F" w14:textId="77777777" w:rsidR="00B52CFD" w:rsidRDefault="00B52CFD" w:rsidP="00B52CFD">
      <w:pPr>
        <w:rPr>
          <w:rFonts w:ascii="Arial" w:hAnsi="Arial" w:cs="Arial"/>
          <w:b/>
        </w:rPr>
      </w:pPr>
    </w:p>
    <w:p w14:paraId="389EFC7D" w14:textId="47B17678" w:rsidR="00F72893" w:rsidRDefault="00B52CFD" w:rsidP="00B52CFD">
      <w:pPr>
        <w:jc w:val="both"/>
        <w:rPr>
          <w:rFonts w:ascii="Arial" w:hAnsi="Arial" w:cs="Arial"/>
          <w:sz w:val="22"/>
          <w:szCs w:val="22"/>
        </w:rPr>
      </w:pPr>
      <w:r w:rsidRPr="00745A31">
        <w:rPr>
          <w:rFonts w:ascii="Arial" w:hAnsi="Arial" w:cs="Arial"/>
          <w:sz w:val="22"/>
          <w:szCs w:val="22"/>
        </w:rPr>
        <w:t xml:space="preserve">The University’s </w:t>
      </w:r>
      <w:r w:rsidR="005F247D">
        <w:rPr>
          <w:rFonts w:ascii="Arial" w:hAnsi="Arial" w:cs="Arial"/>
          <w:sz w:val="22"/>
          <w:szCs w:val="22"/>
        </w:rPr>
        <w:t>L</w:t>
      </w:r>
      <w:r w:rsidRPr="00745A31">
        <w:rPr>
          <w:rFonts w:ascii="Arial" w:hAnsi="Arial" w:cs="Arial"/>
          <w:sz w:val="22"/>
          <w:szCs w:val="22"/>
        </w:rPr>
        <w:t xml:space="preserve">icences, DIs and licensed premises (including satellite sites) are listed in </w:t>
      </w:r>
      <w:r w:rsidR="0059578D" w:rsidRPr="00745A31">
        <w:rPr>
          <w:rFonts w:ascii="Arial" w:hAnsi="Arial" w:cs="Arial"/>
          <w:sz w:val="22"/>
          <w:szCs w:val="22"/>
        </w:rPr>
        <w:t>Part A</w:t>
      </w:r>
      <w:r w:rsidRPr="00745A31">
        <w:rPr>
          <w:rFonts w:ascii="Arial" w:hAnsi="Arial" w:cs="Arial"/>
          <w:sz w:val="22"/>
          <w:szCs w:val="22"/>
        </w:rPr>
        <w:t xml:space="preserve"> of this Code of Practice and may also be found </w:t>
      </w:r>
      <w:r w:rsidR="00C52E64">
        <w:rPr>
          <w:rFonts w:ascii="Arial" w:hAnsi="Arial" w:cs="Arial"/>
          <w:sz w:val="22"/>
          <w:szCs w:val="22"/>
        </w:rPr>
        <w:t xml:space="preserve">on the </w:t>
      </w:r>
      <w:hyperlink r:id="rId22" w:history="1">
        <w:r w:rsidR="00C52E64" w:rsidRPr="00306E20">
          <w:rPr>
            <w:rStyle w:val="Hyperlink"/>
            <w:rFonts w:ascii="Arial" w:hAnsi="Arial" w:cs="Arial"/>
            <w:sz w:val="22"/>
            <w:szCs w:val="22"/>
          </w:rPr>
          <w:t>HT</w:t>
        </w:r>
        <w:r w:rsidR="00C52E64" w:rsidRPr="00306E20">
          <w:rPr>
            <w:rStyle w:val="Hyperlink"/>
            <w:rFonts w:ascii="Arial" w:hAnsi="Arial" w:cs="Arial"/>
            <w:sz w:val="22"/>
            <w:szCs w:val="22"/>
          </w:rPr>
          <w:t>W</w:t>
        </w:r>
        <w:r w:rsidR="00C52E64" w:rsidRPr="00306E20">
          <w:rPr>
            <w:rStyle w:val="Hyperlink"/>
            <w:rFonts w:ascii="Arial" w:hAnsi="Arial" w:cs="Arial"/>
            <w:sz w:val="22"/>
            <w:szCs w:val="22"/>
          </w:rPr>
          <w:t>G webpages</w:t>
        </w:r>
      </w:hyperlink>
      <w:r w:rsidR="00C52E64">
        <w:rPr>
          <w:rFonts w:ascii="Arial" w:hAnsi="Arial" w:cs="Arial"/>
          <w:sz w:val="22"/>
          <w:szCs w:val="22"/>
        </w:rPr>
        <w:t>.</w:t>
      </w:r>
      <w:r w:rsidR="0059578D" w:rsidRPr="00745A31">
        <w:rPr>
          <w:rFonts w:ascii="Arial" w:hAnsi="Arial" w:cs="Arial"/>
          <w:sz w:val="22"/>
          <w:szCs w:val="22"/>
        </w:rPr>
        <w:t xml:space="preserve"> The Research and </w:t>
      </w:r>
      <w:r w:rsidR="00084295">
        <w:rPr>
          <w:rFonts w:ascii="Arial" w:hAnsi="Arial" w:cs="Arial"/>
          <w:sz w:val="22"/>
          <w:szCs w:val="22"/>
        </w:rPr>
        <w:t xml:space="preserve">Human Tissue </w:t>
      </w:r>
      <w:r w:rsidRPr="00745A31">
        <w:rPr>
          <w:rFonts w:ascii="Arial" w:hAnsi="Arial" w:cs="Arial"/>
          <w:sz w:val="22"/>
          <w:szCs w:val="22"/>
        </w:rPr>
        <w:t>Manager will keep these details up to date.</w:t>
      </w:r>
      <w:r w:rsidR="007333E2">
        <w:rPr>
          <w:rFonts w:ascii="Arial" w:hAnsi="Arial" w:cs="Arial"/>
          <w:sz w:val="22"/>
          <w:szCs w:val="22"/>
        </w:rPr>
        <w:t xml:space="preserve"> </w:t>
      </w:r>
      <w:r w:rsidRPr="00745A31">
        <w:rPr>
          <w:rFonts w:ascii="Arial" w:hAnsi="Arial" w:cs="Arial"/>
          <w:sz w:val="22"/>
          <w:szCs w:val="22"/>
        </w:rPr>
        <w:t>The appointment of individuals to the role of DI must receive prior approval from the HTA before the role is implemented.</w:t>
      </w:r>
      <w:r w:rsidR="007333E2">
        <w:rPr>
          <w:rFonts w:ascii="Arial" w:hAnsi="Arial" w:cs="Arial"/>
          <w:sz w:val="22"/>
          <w:szCs w:val="22"/>
        </w:rPr>
        <w:t xml:space="preserve"> </w:t>
      </w:r>
      <w:r w:rsidR="00F72893">
        <w:rPr>
          <w:rFonts w:ascii="Arial" w:hAnsi="Arial" w:cs="Arial"/>
          <w:sz w:val="22"/>
          <w:szCs w:val="22"/>
        </w:rPr>
        <w:t>Heads of Schools (</w:t>
      </w:r>
      <w:r w:rsidR="006751E0">
        <w:rPr>
          <w:rFonts w:ascii="Arial" w:hAnsi="Arial" w:cs="Arial"/>
          <w:sz w:val="22"/>
          <w:szCs w:val="22"/>
        </w:rPr>
        <w:t>“</w:t>
      </w:r>
      <w:r w:rsidR="00F72893">
        <w:rPr>
          <w:rFonts w:ascii="Arial" w:hAnsi="Arial" w:cs="Arial"/>
          <w:sz w:val="22"/>
          <w:szCs w:val="22"/>
        </w:rPr>
        <w:t>HoS</w:t>
      </w:r>
      <w:r w:rsidR="006751E0">
        <w:rPr>
          <w:rFonts w:ascii="Arial" w:hAnsi="Arial" w:cs="Arial"/>
          <w:sz w:val="22"/>
          <w:szCs w:val="22"/>
        </w:rPr>
        <w:t>”</w:t>
      </w:r>
      <w:r w:rsidR="00F72893">
        <w:rPr>
          <w:rFonts w:ascii="Arial" w:hAnsi="Arial" w:cs="Arial"/>
          <w:sz w:val="22"/>
          <w:szCs w:val="22"/>
        </w:rPr>
        <w:t xml:space="preserve">) </w:t>
      </w:r>
      <w:r w:rsidR="00A942AE">
        <w:rPr>
          <w:rFonts w:ascii="Arial" w:hAnsi="Arial" w:cs="Arial"/>
          <w:sz w:val="22"/>
          <w:szCs w:val="22"/>
        </w:rPr>
        <w:t xml:space="preserve">and/or outgoing DI </w:t>
      </w:r>
      <w:r w:rsidR="00F72893">
        <w:rPr>
          <w:rFonts w:ascii="Arial" w:hAnsi="Arial" w:cs="Arial"/>
          <w:sz w:val="22"/>
          <w:szCs w:val="22"/>
        </w:rPr>
        <w:t>must therefore notify the</w:t>
      </w:r>
      <w:r w:rsidR="00F72893" w:rsidRPr="00745A31">
        <w:rPr>
          <w:rFonts w:ascii="Arial" w:hAnsi="Arial" w:cs="Arial"/>
          <w:sz w:val="22"/>
          <w:szCs w:val="22"/>
        </w:rPr>
        <w:t xml:space="preserve"> Head of Research Governance as early as possible of any intended changes </w:t>
      </w:r>
      <w:r w:rsidR="00084295">
        <w:rPr>
          <w:rFonts w:ascii="Arial" w:hAnsi="Arial" w:cs="Arial"/>
          <w:sz w:val="22"/>
          <w:szCs w:val="22"/>
        </w:rPr>
        <w:t xml:space="preserve">to </w:t>
      </w:r>
      <w:r w:rsidR="00F72893" w:rsidRPr="00745A31">
        <w:rPr>
          <w:rFonts w:ascii="Arial" w:hAnsi="Arial" w:cs="Arial"/>
          <w:sz w:val="22"/>
          <w:szCs w:val="22"/>
        </w:rPr>
        <w:t xml:space="preserve">the </w:t>
      </w:r>
      <w:r w:rsidR="00084295">
        <w:rPr>
          <w:rFonts w:ascii="Arial" w:hAnsi="Arial" w:cs="Arial"/>
          <w:sz w:val="22"/>
          <w:szCs w:val="22"/>
        </w:rPr>
        <w:t xml:space="preserve">role of the </w:t>
      </w:r>
      <w:r w:rsidR="00F72893" w:rsidRPr="00745A31">
        <w:rPr>
          <w:rFonts w:ascii="Arial" w:hAnsi="Arial" w:cs="Arial"/>
          <w:sz w:val="22"/>
          <w:szCs w:val="22"/>
        </w:rPr>
        <w:t>DI.</w:t>
      </w:r>
    </w:p>
    <w:p w14:paraId="4649133D" w14:textId="77777777" w:rsidR="00710181" w:rsidRDefault="00710181" w:rsidP="00710181">
      <w:pPr>
        <w:rPr>
          <w:rFonts w:ascii="Arial" w:hAnsi="Arial" w:cs="Arial"/>
          <w:b/>
        </w:rPr>
      </w:pPr>
    </w:p>
    <w:p w14:paraId="7C73DE1A" w14:textId="4962BDA7" w:rsidR="00710181" w:rsidRDefault="00710181" w:rsidP="00710181">
      <w:pPr>
        <w:jc w:val="both"/>
        <w:rPr>
          <w:rFonts w:ascii="Arial" w:hAnsi="Arial" w:cs="Arial"/>
          <w:sz w:val="22"/>
          <w:szCs w:val="22"/>
        </w:rPr>
      </w:pPr>
      <w:r>
        <w:rPr>
          <w:rFonts w:ascii="Arial" w:hAnsi="Arial" w:cs="Arial"/>
          <w:sz w:val="22"/>
          <w:szCs w:val="22"/>
        </w:rPr>
        <w:t xml:space="preserve">The HTA provides guidance on </w:t>
      </w:r>
      <w:r w:rsidR="00653C88">
        <w:rPr>
          <w:rFonts w:ascii="Arial" w:hAnsi="Arial" w:cs="Arial"/>
          <w:sz w:val="22"/>
          <w:szCs w:val="22"/>
        </w:rPr>
        <w:t>the required knowledge and competencies</w:t>
      </w:r>
      <w:r>
        <w:rPr>
          <w:rFonts w:ascii="Arial" w:hAnsi="Arial" w:cs="Arial"/>
          <w:sz w:val="22"/>
          <w:szCs w:val="22"/>
        </w:rPr>
        <w:t xml:space="preserve"> for </w:t>
      </w:r>
      <w:proofErr w:type="spellStart"/>
      <w:r>
        <w:rPr>
          <w:rFonts w:ascii="Arial" w:hAnsi="Arial" w:cs="Arial"/>
          <w:sz w:val="22"/>
          <w:szCs w:val="22"/>
        </w:rPr>
        <w:t>DIs.</w:t>
      </w:r>
      <w:proofErr w:type="spellEnd"/>
      <w:r>
        <w:rPr>
          <w:rFonts w:ascii="Arial" w:hAnsi="Arial" w:cs="Arial"/>
          <w:sz w:val="22"/>
          <w:szCs w:val="22"/>
        </w:rPr>
        <w:t xml:space="preserve"> Evidence of training should be held by the DI</w:t>
      </w:r>
      <w:r w:rsidR="00D83153">
        <w:rPr>
          <w:rFonts w:ascii="Arial" w:hAnsi="Arial" w:cs="Arial"/>
          <w:sz w:val="22"/>
          <w:szCs w:val="22"/>
        </w:rPr>
        <w:t xml:space="preserve">. </w:t>
      </w:r>
      <w:r>
        <w:rPr>
          <w:rFonts w:ascii="Arial" w:hAnsi="Arial" w:cs="Arial"/>
          <w:sz w:val="22"/>
          <w:szCs w:val="22"/>
        </w:rPr>
        <w:t xml:space="preserve">(See Annex B for training record forms). </w:t>
      </w:r>
    </w:p>
    <w:p w14:paraId="041C8E93" w14:textId="6A55D434" w:rsidR="00710181" w:rsidRDefault="00710181" w:rsidP="00B52CFD">
      <w:pPr>
        <w:jc w:val="both"/>
        <w:rPr>
          <w:rFonts w:ascii="Arial" w:hAnsi="Arial" w:cs="Arial"/>
          <w:sz w:val="22"/>
          <w:szCs w:val="22"/>
        </w:rPr>
      </w:pPr>
    </w:p>
    <w:p w14:paraId="79BAC6B3" w14:textId="68330068" w:rsidR="00210FBD" w:rsidRDefault="00210FBD" w:rsidP="00B52CFD">
      <w:pPr>
        <w:jc w:val="both"/>
        <w:rPr>
          <w:rFonts w:ascii="Arial" w:hAnsi="Arial" w:cs="Arial"/>
          <w:sz w:val="22"/>
          <w:szCs w:val="22"/>
        </w:rPr>
      </w:pPr>
      <w:bookmarkStart w:id="13" w:name="_Hlk25678324"/>
      <w:r>
        <w:rPr>
          <w:rFonts w:ascii="Arial" w:hAnsi="Arial" w:cs="Arial"/>
          <w:sz w:val="22"/>
          <w:szCs w:val="22"/>
        </w:rPr>
        <w:t xml:space="preserve">The University has a Risk Management Policy and Procedure for the assessment of </w:t>
      </w:r>
      <w:proofErr w:type="gramStart"/>
      <w:r>
        <w:rPr>
          <w:rFonts w:ascii="Arial" w:hAnsi="Arial" w:cs="Arial"/>
          <w:sz w:val="22"/>
          <w:szCs w:val="22"/>
        </w:rPr>
        <w:t>University</w:t>
      </w:r>
      <w:proofErr w:type="gramEnd"/>
      <w:r>
        <w:rPr>
          <w:rFonts w:ascii="Arial" w:hAnsi="Arial" w:cs="Arial"/>
          <w:sz w:val="22"/>
          <w:szCs w:val="22"/>
        </w:rPr>
        <w:t xml:space="preserve"> risks and includes, within the Impact Scoring Matrix, the impact of non-compliance with the </w:t>
      </w:r>
      <w:r w:rsidR="00E54C0D">
        <w:rPr>
          <w:rFonts w:ascii="Arial" w:hAnsi="Arial" w:cs="Arial"/>
          <w:sz w:val="22"/>
          <w:szCs w:val="22"/>
        </w:rPr>
        <w:t>HT</w:t>
      </w:r>
      <w:r>
        <w:rPr>
          <w:rFonts w:ascii="Arial" w:hAnsi="Arial" w:cs="Arial"/>
          <w:sz w:val="22"/>
          <w:szCs w:val="22"/>
        </w:rPr>
        <w:t xml:space="preserve"> Act. A </w:t>
      </w:r>
      <w:r w:rsidRPr="0066251A">
        <w:rPr>
          <w:rFonts w:ascii="Arial" w:hAnsi="Arial" w:cs="Arial"/>
          <w:sz w:val="22"/>
          <w:szCs w:val="22"/>
        </w:rPr>
        <w:t xml:space="preserve">new </w:t>
      </w:r>
      <w:r w:rsidRPr="0048446C">
        <w:rPr>
          <w:rFonts w:ascii="Arial" w:hAnsi="Arial" w:cs="Arial"/>
          <w:sz w:val="22"/>
          <w:szCs w:val="22"/>
        </w:rPr>
        <w:t xml:space="preserve">Research and Innovation Risk Register </w:t>
      </w:r>
      <w:r>
        <w:rPr>
          <w:rFonts w:ascii="Arial" w:hAnsi="Arial" w:cs="Arial"/>
          <w:sz w:val="22"/>
          <w:szCs w:val="22"/>
        </w:rPr>
        <w:t xml:space="preserve">is being developed which will document this in more detail and </w:t>
      </w:r>
      <w:r w:rsidRPr="0048446C">
        <w:rPr>
          <w:rFonts w:ascii="Arial" w:hAnsi="Arial" w:cs="Arial"/>
          <w:sz w:val="22"/>
          <w:szCs w:val="22"/>
        </w:rPr>
        <w:t>will be owned by the PVC-Research and University Research Committee</w:t>
      </w:r>
      <w:r>
        <w:rPr>
          <w:rFonts w:ascii="Arial" w:hAnsi="Arial" w:cs="Arial"/>
          <w:sz w:val="22"/>
          <w:szCs w:val="22"/>
        </w:rPr>
        <w:t xml:space="preserve">. </w:t>
      </w:r>
      <w:bookmarkStart w:id="14" w:name="_Hlk25678197"/>
      <w:r>
        <w:rPr>
          <w:rFonts w:ascii="Arial" w:hAnsi="Arial" w:cs="Arial"/>
          <w:sz w:val="22"/>
          <w:szCs w:val="22"/>
        </w:rPr>
        <w:t>Any situations that the HTWG consider might impact on this risk will be reported to the PVC-Research</w:t>
      </w:r>
      <w:r>
        <w:rPr>
          <w:rFonts w:ascii="Arial" w:hAnsi="Arial" w:cs="Arial"/>
          <w:sz w:val="22"/>
          <w:szCs w:val="22"/>
        </w:rPr>
        <w:t xml:space="preserve"> via the LH representative</w:t>
      </w:r>
      <w:r>
        <w:rPr>
          <w:rFonts w:ascii="Arial" w:hAnsi="Arial" w:cs="Arial"/>
          <w:sz w:val="22"/>
          <w:szCs w:val="22"/>
        </w:rPr>
        <w:t>.</w:t>
      </w:r>
      <w:bookmarkEnd w:id="13"/>
      <w:bookmarkEnd w:id="14"/>
    </w:p>
    <w:p w14:paraId="5EF1A1AF" w14:textId="77777777" w:rsidR="00B52CFD" w:rsidRDefault="00B52CFD" w:rsidP="00B52CFD">
      <w:pPr>
        <w:jc w:val="both"/>
        <w:rPr>
          <w:rFonts w:ascii="Arial" w:hAnsi="Arial" w:cs="Arial"/>
          <w:sz w:val="22"/>
          <w:szCs w:val="22"/>
        </w:rPr>
      </w:pPr>
    </w:p>
    <w:p w14:paraId="76D4B187" w14:textId="3E45E2CA" w:rsidR="00B52CFD" w:rsidRDefault="00B52CFD" w:rsidP="00B52CFD">
      <w:pPr>
        <w:jc w:val="both"/>
        <w:rPr>
          <w:rFonts w:ascii="Arial" w:hAnsi="Arial" w:cs="Arial"/>
          <w:sz w:val="22"/>
          <w:szCs w:val="22"/>
        </w:rPr>
      </w:pPr>
      <w:r>
        <w:rPr>
          <w:rFonts w:ascii="Arial" w:hAnsi="Arial" w:cs="Arial"/>
          <w:sz w:val="22"/>
          <w:szCs w:val="22"/>
        </w:rPr>
        <w:t xml:space="preserve">Where a DI is unable to discharge their duties, the LH </w:t>
      </w:r>
      <w:r w:rsidR="00E602CA">
        <w:rPr>
          <w:rFonts w:ascii="Arial" w:hAnsi="Arial" w:cs="Arial"/>
          <w:sz w:val="22"/>
          <w:szCs w:val="22"/>
        </w:rPr>
        <w:t xml:space="preserve">representative </w:t>
      </w:r>
      <w:r>
        <w:rPr>
          <w:rFonts w:ascii="Arial" w:hAnsi="Arial" w:cs="Arial"/>
          <w:sz w:val="22"/>
          <w:szCs w:val="22"/>
        </w:rPr>
        <w:t xml:space="preserve">may make an application to the HTA to vary the </w:t>
      </w:r>
      <w:r w:rsidR="005F247D">
        <w:rPr>
          <w:rFonts w:ascii="Arial" w:hAnsi="Arial" w:cs="Arial"/>
          <w:sz w:val="22"/>
          <w:szCs w:val="22"/>
        </w:rPr>
        <w:t>L</w:t>
      </w:r>
      <w:r>
        <w:rPr>
          <w:rFonts w:ascii="Arial" w:hAnsi="Arial" w:cs="Arial"/>
          <w:sz w:val="22"/>
          <w:szCs w:val="22"/>
        </w:rPr>
        <w:t xml:space="preserve">icence </w:t>
      </w:r>
      <w:proofErr w:type="gramStart"/>
      <w:r w:rsidR="001475B8">
        <w:rPr>
          <w:rFonts w:ascii="Arial" w:hAnsi="Arial" w:cs="Arial"/>
          <w:sz w:val="22"/>
          <w:szCs w:val="22"/>
        </w:rPr>
        <w:t xml:space="preserve">in order </w:t>
      </w:r>
      <w:r>
        <w:rPr>
          <w:rFonts w:ascii="Arial" w:hAnsi="Arial" w:cs="Arial"/>
          <w:sz w:val="22"/>
          <w:szCs w:val="22"/>
        </w:rPr>
        <w:t>to</w:t>
      </w:r>
      <w:proofErr w:type="gramEnd"/>
      <w:r>
        <w:rPr>
          <w:rFonts w:ascii="Arial" w:hAnsi="Arial" w:cs="Arial"/>
          <w:sz w:val="22"/>
          <w:szCs w:val="22"/>
        </w:rPr>
        <w:t xml:space="preserve"> substitute another individual </w:t>
      </w:r>
      <w:r w:rsidR="001475B8">
        <w:rPr>
          <w:rFonts w:ascii="Arial" w:hAnsi="Arial" w:cs="Arial"/>
          <w:sz w:val="22"/>
          <w:szCs w:val="22"/>
        </w:rPr>
        <w:t>as</w:t>
      </w:r>
      <w:r>
        <w:rPr>
          <w:rFonts w:ascii="Arial" w:hAnsi="Arial" w:cs="Arial"/>
          <w:sz w:val="22"/>
          <w:szCs w:val="22"/>
        </w:rPr>
        <w:t xml:space="preserve"> DI</w:t>
      </w:r>
      <w:r w:rsidR="00781414">
        <w:rPr>
          <w:rFonts w:ascii="Arial" w:hAnsi="Arial" w:cs="Arial"/>
          <w:sz w:val="22"/>
          <w:szCs w:val="22"/>
        </w:rPr>
        <w:t xml:space="preserve">. </w:t>
      </w:r>
      <w:r>
        <w:rPr>
          <w:rFonts w:ascii="Arial" w:hAnsi="Arial" w:cs="Arial"/>
          <w:sz w:val="22"/>
          <w:szCs w:val="22"/>
        </w:rPr>
        <w:t>The LH</w:t>
      </w:r>
      <w:r w:rsidR="00E602CA">
        <w:rPr>
          <w:rFonts w:ascii="Arial" w:hAnsi="Arial" w:cs="Arial"/>
          <w:sz w:val="22"/>
          <w:szCs w:val="22"/>
        </w:rPr>
        <w:t xml:space="preserve"> representative</w:t>
      </w:r>
      <w:r>
        <w:rPr>
          <w:rFonts w:ascii="Arial" w:hAnsi="Arial" w:cs="Arial"/>
          <w:sz w:val="22"/>
          <w:szCs w:val="22"/>
        </w:rPr>
        <w:t xml:space="preserve"> will work closely with the HoS to put in place appropriate measures if a DI is temporarily unable to oversee licensable activities.</w:t>
      </w:r>
    </w:p>
    <w:p w14:paraId="58AB8B04" w14:textId="77777777" w:rsidR="00B52CFD" w:rsidRDefault="00B52CFD" w:rsidP="00B52CFD">
      <w:pPr>
        <w:jc w:val="both"/>
        <w:rPr>
          <w:rFonts w:ascii="Arial" w:hAnsi="Arial" w:cs="Arial"/>
          <w:sz w:val="22"/>
          <w:szCs w:val="22"/>
        </w:rPr>
      </w:pPr>
    </w:p>
    <w:p w14:paraId="480105C6" w14:textId="1A1A4450" w:rsidR="00B52CFD" w:rsidRDefault="005A3922" w:rsidP="00B52CFD">
      <w:pPr>
        <w:jc w:val="both"/>
        <w:rPr>
          <w:rFonts w:ascii="Arial" w:hAnsi="Arial" w:cs="Arial"/>
          <w:sz w:val="22"/>
          <w:szCs w:val="22"/>
        </w:rPr>
      </w:pPr>
      <w:r>
        <w:rPr>
          <w:rFonts w:ascii="Arial" w:hAnsi="Arial" w:cs="Arial"/>
          <w:sz w:val="22"/>
          <w:szCs w:val="22"/>
        </w:rPr>
        <w:lastRenderedPageBreak/>
        <w:t>Persons Designate</w:t>
      </w:r>
      <w:r w:rsidR="007C6CB0">
        <w:rPr>
          <w:rFonts w:ascii="Arial" w:hAnsi="Arial" w:cs="Arial"/>
          <w:sz w:val="22"/>
          <w:szCs w:val="22"/>
        </w:rPr>
        <w:t>d</w:t>
      </w:r>
      <w:r>
        <w:rPr>
          <w:rFonts w:ascii="Arial" w:hAnsi="Arial" w:cs="Arial"/>
          <w:sz w:val="22"/>
          <w:szCs w:val="22"/>
        </w:rPr>
        <w:t xml:space="preserve"> (PD) as</w:t>
      </w:r>
      <w:r w:rsidR="00CA04C9">
        <w:rPr>
          <w:rFonts w:ascii="Arial" w:hAnsi="Arial" w:cs="Arial"/>
          <w:sz w:val="22"/>
          <w:szCs w:val="22"/>
        </w:rPr>
        <w:t xml:space="preserve">sist DIs </w:t>
      </w:r>
      <w:r w:rsidR="00C71144">
        <w:rPr>
          <w:rFonts w:ascii="Arial" w:hAnsi="Arial" w:cs="Arial"/>
          <w:sz w:val="22"/>
          <w:szCs w:val="22"/>
        </w:rPr>
        <w:t>with certain aspects of their role and should</w:t>
      </w:r>
      <w:r w:rsidR="00112A24">
        <w:rPr>
          <w:rFonts w:ascii="Arial" w:hAnsi="Arial" w:cs="Arial"/>
          <w:sz w:val="22"/>
          <w:szCs w:val="22"/>
        </w:rPr>
        <w:t xml:space="preserve"> also</w:t>
      </w:r>
      <w:r w:rsidR="00C71144">
        <w:rPr>
          <w:rFonts w:ascii="Arial" w:hAnsi="Arial" w:cs="Arial"/>
          <w:sz w:val="22"/>
          <w:szCs w:val="22"/>
        </w:rPr>
        <w:t xml:space="preserve"> be</w:t>
      </w:r>
      <w:r w:rsidR="00B52CFD">
        <w:rPr>
          <w:rFonts w:ascii="Arial" w:hAnsi="Arial" w:cs="Arial"/>
          <w:sz w:val="22"/>
          <w:szCs w:val="22"/>
        </w:rPr>
        <w:t xml:space="preserve"> notified to the HTA and listed under each </w:t>
      </w:r>
      <w:r w:rsidR="005F247D">
        <w:rPr>
          <w:rFonts w:ascii="Arial" w:hAnsi="Arial" w:cs="Arial"/>
          <w:sz w:val="22"/>
          <w:szCs w:val="22"/>
        </w:rPr>
        <w:t>L</w:t>
      </w:r>
      <w:r w:rsidR="00B52CFD">
        <w:rPr>
          <w:rFonts w:ascii="Arial" w:hAnsi="Arial" w:cs="Arial"/>
          <w:sz w:val="22"/>
          <w:szCs w:val="22"/>
        </w:rPr>
        <w:t>icence</w:t>
      </w:r>
      <w:r w:rsidR="00C71144">
        <w:rPr>
          <w:rFonts w:ascii="Arial" w:hAnsi="Arial" w:cs="Arial"/>
          <w:sz w:val="22"/>
          <w:szCs w:val="22"/>
        </w:rPr>
        <w:t>. In addition</w:t>
      </w:r>
      <w:r w:rsidR="007C6CB0">
        <w:rPr>
          <w:rFonts w:ascii="Arial" w:hAnsi="Arial" w:cs="Arial"/>
          <w:sz w:val="22"/>
          <w:szCs w:val="22"/>
        </w:rPr>
        <w:t>,</w:t>
      </w:r>
      <w:r w:rsidR="00B52CFD">
        <w:rPr>
          <w:rFonts w:ascii="Arial" w:hAnsi="Arial" w:cs="Arial"/>
          <w:sz w:val="22"/>
          <w:szCs w:val="22"/>
        </w:rPr>
        <w:t xml:space="preserve"> </w:t>
      </w:r>
      <w:r w:rsidR="00C71144">
        <w:rPr>
          <w:rFonts w:ascii="Arial" w:hAnsi="Arial" w:cs="Arial"/>
          <w:sz w:val="22"/>
          <w:szCs w:val="22"/>
        </w:rPr>
        <w:t xml:space="preserve">a </w:t>
      </w:r>
      <w:r w:rsidR="00B52CFD">
        <w:rPr>
          <w:rFonts w:ascii="Arial" w:hAnsi="Arial" w:cs="Arial"/>
          <w:sz w:val="22"/>
          <w:szCs w:val="22"/>
        </w:rPr>
        <w:t>Senior Person Designate</w:t>
      </w:r>
      <w:r w:rsidR="007C6CB0">
        <w:rPr>
          <w:rFonts w:ascii="Arial" w:hAnsi="Arial" w:cs="Arial"/>
          <w:sz w:val="22"/>
          <w:szCs w:val="22"/>
        </w:rPr>
        <w:t>d</w:t>
      </w:r>
      <w:r w:rsidR="00B52CFD">
        <w:rPr>
          <w:rFonts w:ascii="Arial" w:hAnsi="Arial" w:cs="Arial"/>
          <w:sz w:val="22"/>
          <w:szCs w:val="22"/>
        </w:rPr>
        <w:t xml:space="preserve"> (“SPD”) should be identified under each </w:t>
      </w:r>
      <w:r w:rsidR="005F247D">
        <w:rPr>
          <w:rFonts w:ascii="Arial" w:hAnsi="Arial" w:cs="Arial"/>
          <w:sz w:val="22"/>
          <w:szCs w:val="22"/>
        </w:rPr>
        <w:t>L</w:t>
      </w:r>
      <w:r w:rsidR="00B52CFD">
        <w:rPr>
          <w:rFonts w:ascii="Arial" w:hAnsi="Arial" w:cs="Arial"/>
          <w:sz w:val="22"/>
          <w:szCs w:val="22"/>
        </w:rPr>
        <w:t xml:space="preserve">icence. This is an internal University role and not </w:t>
      </w:r>
      <w:r w:rsidR="001475B8">
        <w:rPr>
          <w:rFonts w:ascii="Arial" w:hAnsi="Arial" w:cs="Arial"/>
          <w:sz w:val="22"/>
          <w:szCs w:val="22"/>
        </w:rPr>
        <w:t xml:space="preserve">a role specified or </w:t>
      </w:r>
      <w:r w:rsidR="00B52CFD">
        <w:rPr>
          <w:rFonts w:ascii="Arial" w:hAnsi="Arial" w:cs="Arial"/>
          <w:sz w:val="22"/>
          <w:szCs w:val="22"/>
        </w:rPr>
        <w:t xml:space="preserve">required by the HTA. The SPD will act as the primary contact for the LH </w:t>
      </w:r>
      <w:r w:rsidR="00E602CA">
        <w:rPr>
          <w:rFonts w:ascii="Arial" w:hAnsi="Arial" w:cs="Arial"/>
          <w:sz w:val="22"/>
          <w:szCs w:val="22"/>
        </w:rPr>
        <w:t xml:space="preserve">representative </w:t>
      </w:r>
      <w:r w:rsidR="00B52CFD">
        <w:rPr>
          <w:rFonts w:ascii="Arial" w:hAnsi="Arial" w:cs="Arial"/>
          <w:sz w:val="22"/>
          <w:szCs w:val="22"/>
        </w:rPr>
        <w:t xml:space="preserve">in the absence of the DI and will be the first person to be considered for the role of DI should the DI be unable to discharge their duties. The SPD role could be supported by an appropriate person in each </w:t>
      </w:r>
      <w:r w:rsidR="00B55A65">
        <w:rPr>
          <w:rFonts w:ascii="Arial" w:hAnsi="Arial" w:cs="Arial"/>
          <w:sz w:val="22"/>
          <w:szCs w:val="22"/>
        </w:rPr>
        <w:t>L</w:t>
      </w:r>
      <w:r w:rsidR="00B52CFD">
        <w:rPr>
          <w:rFonts w:ascii="Arial" w:hAnsi="Arial" w:cs="Arial"/>
          <w:sz w:val="22"/>
          <w:szCs w:val="22"/>
        </w:rPr>
        <w:t xml:space="preserve">icence who is familiar with the more technical aspects of the </w:t>
      </w:r>
      <w:r w:rsidR="00B55A65">
        <w:rPr>
          <w:rFonts w:ascii="Arial" w:hAnsi="Arial" w:cs="Arial"/>
          <w:sz w:val="22"/>
          <w:szCs w:val="22"/>
        </w:rPr>
        <w:t>L</w:t>
      </w:r>
      <w:r w:rsidR="00B52CFD">
        <w:rPr>
          <w:rFonts w:ascii="Arial" w:hAnsi="Arial" w:cs="Arial"/>
          <w:sz w:val="22"/>
          <w:szCs w:val="22"/>
        </w:rPr>
        <w:t xml:space="preserve">icence. </w:t>
      </w:r>
      <w:r w:rsidR="005F247D">
        <w:rPr>
          <w:rFonts w:ascii="Arial" w:hAnsi="Arial" w:cs="Arial"/>
          <w:sz w:val="22"/>
          <w:szCs w:val="22"/>
        </w:rPr>
        <w:t>T</w:t>
      </w:r>
      <w:r w:rsidR="0059578D">
        <w:rPr>
          <w:rFonts w:ascii="Arial" w:hAnsi="Arial" w:cs="Arial"/>
          <w:sz w:val="22"/>
          <w:szCs w:val="22"/>
        </w:rPr>
        <w:t xml:space="preserve">he Research and </w:t>
      </w:r>
      <w:r w:rsidR="00112A24">
        <w:rPr>
          <w:rFonts w:ascii="Arial" w:hAnsi="Arial" w:cs="Arial"/>
          <w:sz w:val="22"/>
          <w:szCs w:val="22"/>
        </w:rPr>
        <w:t xml:space="preserve">Human Tissue </w:t>
      </w:r>
      <w:r w:rsidR="00B52CFD">
        <w:rPr>
          <w:rFonts w:ascii="Arial" w:hAnsi="Arial" w:cs="Arial"/>
          <w:sz w:val="22"/>
          <w:szCs w:val="22"/>
        </w:rPr>
        <w:t>Manager</w:t>
      </w:r>
      <w:r w:rsidR="005F247D">
        <w:rPr>
          <w:rFonts w:ascii="Arial" w:hAnsi="Arial" w:cs="Arial"/>
          <w:sz w:val="22"/>
          <w:szCs w:val="22"/>
        </w:rPr>
        <w:t xml:space="preserve"> must be informed of the names of these individuals</w:t>
      </w:r>
      <w:r w:rsidR="00B52CFD">
        <w:rPr>
          <w:rFonts w:ascii="Arial" w:hAnsi="Arial" w:cs="Arial"/>
          <w:sz w:val="22"/>
          <w:szCs w:val="22"/>
        </w:rPr>
        <w:t>.</w:t>
      </w:r>
    </w:p>
    <w:p w14:paraId="6A47574A" w14:textId="77777777" w:rsidR="00B52CFD" w:rsidRDefault="00B52CFD" w:rsidP="00B52CFD">
      <w:pPr>
        <w:jc w:val="both"/>
        <w:rPr>
          <w:rFonts w:ascii="Arial" w:hAnsi="Arial" w:cs="Arial"/>
          <w:sz w:val="22"/>
          <w:szCs w:val="22"/>
        </w:rPr>
      </w:pPr>
    </w:p>
    <w:p w14:paraId="4DECB455" w14:textId="501D7A6B" w:rsidR="00B52CFD" w:rsidRDefault="00B52CFD" w:rsidP="00B52CFD">
      <w:pPr>
        <w:jc w:val="both"/>
        <w:rPr>
          <w:rFonts w:ascii="Arial" w:hAnsi="Arial" w:cs="Arial"/>
          <w:sz w:val="22"/>
          <w:szCs w:val="22"/>
        </w:rPr>
      </w:pPr>
      <w:r>
        <w:rPr>
          <w:rFonts w:ascii="Arial" w:hAnsi="Arial" w:cs="Arial"/>
          <w:sz w:val="22"/>
          <w:szCs w:val="22"/>
        </w:rPr>
        <w:t xml:space="preserve">It is the responsibility of the DI to notify the HTA and the LH </w:t>
      </w:r>
      <w:r w:rsidR="0011023F">
        <w:rPr>
          <w:rFonts w:ascii="Arial" w:hAnsi="Arial" w:cs="Arial"/>
          <w:sz w:val="22"/>
          <w:szCs w:val="22"/>
        </w:rPr>
        <w:t xml:space="preserve">representative </w:t>
      </w:r>
      <w:r>
        <w:rPr>
          <w:rFonts w:ascii="Arial" w:hAnsi="Arial" w:cs="Arial"/>
          <w:sz w:val="22"/>
          <w:szCs w:val="22"/>
        </w:rPr>
        <w:t xml:space="preserve">of changes to PDs. </w:t>
      </w:r>
    </w:p>
    <w:p w14:paraId="0CCF03CA" w14:textId="77777777" w:rsidR="00B52CFD" w:rsidRDefault="00B52CFD" w:rsidP="00B52CFD">
      <w:pPr>
        <w:pStyle w:val="BodyText2"/>
        <w:spacing w:after="0" w:line="240" w:lineRule="auto"/>
        <w:jc w:val="both"/>
        <w:rPr>
          <w:rFonts w:ascii="Arial" w:hAnsi="Arial" w:cs="Arial"/>
          <w:sz w:val="22"/>
          <w:szCs w:val="22"/>
        </w:rPr>
      </w:pPr>
    </w:p>
    <w:p w14:paraId="491A839A" w14:textId="399C8144" w:rsidR="004E6DE7" w:rsidRDefault="00B52CFD" w:rsidP="00B52CFD">
      <w:pPr>
        <w:pStyle w:val="BodyText2"/>
        <w:spacing w:after="0" w:line="240" w:lineRule="auto"/>
        <w:jc w:val="both"/>
        <w:rPr>
          <w:rFonts w:ascii="Arial" w:hAnsi="Arial" w:cs="Arial"/>
          <w:sz w:val="22"/>
          <w:szCs w:val="22"/>
        </w:rPr>
      </w:pPr>
      <w:r>
        <w:rPr>
          <w:rFonts w:ascii="Arial" w:hAnsi="Arial" w:cs="Arial"/>
          <w:sz w:val="22"/>
          <w:szCs w:val="22"/>
        </w:rPr>
        <w:t xml:space="preserve">The HTA </w:t>
      </w:r>
      <w:r w:rsidR="0059578D">
        <w:rPr>
          <w:rFonts w:ascii="Arial" w:hAnsi="Arial" w:cs="Arial"/>
          <w:sz w:val="22"/>
          <w:szCs w:val="22"/>
        </w:rPr>
        <w:t xml:space="preserve">provides </w:t>
      </w:r>
      <w:hyperlink r:id="rId23" w:history="1">
        <w:r w:rsidR="0059578D" w:rsidRPr="00306E20">
          <w:rPr>
            <w:rStyle w:val="Hyperlink"/>
            <w:rFonts w:ascii="Arial" w:hAnsi="Arial" w:cs="Arial"/>
            <w:sz w:val="22"/>
            <w:szCs w:val="22"/>
          </w:rPr>
          <w:t>guidance</w:t>
        </w:r>
        <w:r w:rsidR="00941874" w:rsidRPr="00306E20">
          <w:rPr>
            <w:rStyle w:val="Hyperlink"/>
            <w:rFonts w:ascii="Arial" w:hAnsi="Arial" w:cs="Arial"/>
            <w:sz w:val="22"/>
            <w:szCs w:val="22"/>
          </w:rPr>
          <w:t xml:space="preserve"> on</w:t>
        </w:r>
        <w:r w:rsidRPr="00306E20">
          <w:rPr>
            <w:rStyle w:val="Hyperlink"/>
            <w:rFonts w:ascii="Arial" w:hAnsi="Arial" w:cs="Arial"/>
            <w:sz w:val="22"/>
            <w:szCs w:val="22"/>
          </w:rPr>
          <w:t xml:space="preserve"> licensing for D</w:t>
        </w:r>
        <w:r w:rsidRPr="00306E20">
          <w:rPr>
            <w:rStyle w:val="Hyperlink"/>
            <w:rFonts w:ascii="Arial" w:hAnsi="Arial" w:cs="Arial"/>
            <w:sz w:val="22"/>
            <w:szCs w:val="22"/>
          </w:rPr>
          <w:t>I</w:t>
        </w:r>
        <w:r w:rsidRPr="00306E20">
          <w:rPr>
            <w:rStyle w:val="Hyperlink"/>
            <w:rFonts w:ascii="Arial" w:hAnsi="Arial" w:cs="Arial"/>
            <w:sz w:val="22"/>
            <w:szCs w:val="22"/>
          </w:rPr>
          <w:t>s and LHs</w:t>
        </w:r>
      </w:hyperlink>
      <w:r>
        <w:rPr>
          <w:rFonts w:ascii="Arial" w:hAnsi="Arial" w:cs="Arial"/>
          <w:sz w:val="22"/>
          <w:szCs w:val="22"/>
        </w:rPr>
        <w:t xml:space="preserve"> </w:t>
      </w:r>
      <w:r w:rsidR="0059578D">
        <w:rPr>
          <w:rFonts w:ascii="Arial" w:hAnsi="Arial" w:cs="Arial"/>
          <w:sz w:val="22"/>
          <w:szCs w:val="22"/>
        </w:rPr>
        <w:t>on the</w:t>
      </w:r>
      <w:r w:rsidR="00306E20">
        <w:rPr>
          <w:rFonts w:ascii="Arial" w:hAnsi="Arial" w:cs="Arial"/>
          <w:sz w:val="22"/>
          <w:szCs w:val="22"/>
        </w:rPr>
        <w:t>ir</w:t>
      </w:r>
      <w:r w:rsidR="0059578D">
        <w:rPr>
          <w:rFonts w:ascii="Arial" w:hAnsi="Arial" w:cs="Arial"/>
          <w:sz w:val="22"/>
          <w:szCs w:val="22"/>
        </w:rPr>
        <w:t xml:space="preserve"> website</w:t>
      </w:r>
      <w:r w:rsidR="00306E20">
        <w:rPr>
          <w:rFonts w:ascii="Arial" w:hAnsi="Arial" w:cs="Arial"/>
          <w:sz w:val="22"/>
          <w:szCs w:val="22"/>
        </w:rPr>
        <w:t>.</w:t>
      </w:r>
    </w:p>
    <w:p w14:paraId="7A014C1C" w14:textId="77777777" w:rsidR="00710181" w:rsidRDefault="00710181" w:rsidP="00B52CFD">
      <w:pPr>
        <w:rPr>
          <w:rFonts w:ascii="Arial" w:hAnsi="Arial" w:cs="Arial"/>
          <w:b/>
        </w:rPr>
      </w:pPr>
    </w:p>
    <w:p w14:paraId="1ED1C9E1" w14:textId="77777777" w:rsidR="00B52CFD" w:rsidRDefault="00B52CFD" w:rsidP="00110A8B">
      <w:pPr>
        <w:numPr>
          <w:ilvl w:val="0"/>
          <w:numId w:val="2"/>
        </w:numPr>
        <w:rPr>
          <w:rFonts w:ascii="Arial" w:hAnsi="Arial" w:cs="Arial"/>
          <w:b/>
        </w:rPr>
      </w:pPr>
      <w:r>
        <w:rPr>
          <w:rFonts w:ascii="Arial" w:hAnsi="Arial" w:cs="Arial"/>
          <w:b/>
        </w:rPr>
        <w:t>Duties and qualifications of DIs</w:t>
      </w:r>
    </w:p>
    <w:p w14:paraId="713A9261" w14:textId="77777777" w:rsidR="00B52CFD" w:rsidRDefault="00B52CFD" w:rsidP="00B52CFD">
      <w:pPr>
        <w:rPr>
          <w:rFonts w:ascii="Arial" w:hAnsi="Arial" w:cs="Arial"/>
          <w:color w:val="000000"/>
          <w:sz w:val="22"/>
        </w:rPr>
      </w:pPr>
    </w:p>
    <w:p w14:paraId="6F0E84AD" w14:textId="77777777" w:rsidR="00B52CFD" w:rsidRDefault="00B52CFD" w:rsidP="00B52CFD">
      <w:pPr>
        <w:jc w:val="both"/>
        <w:rPr>
          <w:rFonts w:ascii="Arial" w:hAnsi="Arial" w:cs="Arial"/>
          <w:color w:val="000000"/>
          <w:sz w:val="22"/>
          <w:szCs w:val="22"/>
        </w:rPr>
      </w:pPr>
      <w:r>
        <w:rPr>
          <w:rFonts w:ascii="Arial" w:hAnsi="Arial" w:cs="Arial"/>
          <w:color w:val="000000"/>
          <w:sz w:val="22"/>
          <w:szCs w:val="22"/>
        </w:rPr>
        <w:t>Section 18 of the HT Act provides that it shall be the duty of the DI to secure:</w:t>
      </w:r>
    </w:p>
    <w:p w14:paraId="1B04E15A" w14:textId="77777777" w:rsidR="00B52CFD" w:rsidRDefault="00B52CFD" w:rsidP="00B52CFD">
      <w:pPr>
        <w:jc w:val="both"/>
        <w:rPr>
          <w:rFonts w:ascii="Arial" w:hAnsi="Arial" w:cs="Arial"/>
          <w:color w:val="000000"/>
          <w:sz w:val="22"/>
          <w:szCs w:val="22"/>
        </w:rPr>
      </w:pPr>
    </w:p>
    <w:p w14:paraId="254600F4" w14:textId="565199A7" w:rsidR="00B52CFD" w:rsidRPr="00DE0CDE" w:rsidRDefault="009A26F9" w:rsidP="00B52CFD">
      <w:pPr>
        <w:numPr>
          <w:ilvl w:val="0"/>
          <w:numId w:val="3"/>
        </w:numPr>
        <w:jc w:val="both"/>
        <w:rPr>
          <w:rFonts w:ascii="Arial" w:hAnsi="Arial" w:cs="Arial"/>
          <w:i/>
          <w:color w:val="000000"/>
          <w:sz w:val="22"/>
          <w:szCs w:val="22"/>
        </w:rPr>
      </w:pPr>
      <w:r>
        <w:rPr>
          <w:rFonts w:ascii="Arial" w:hAnsi="Arial" w:cs="Arial"/>
          <w:i/>
          <w:color w:val="000000"/>
          <w:sz w:val="22"/>
          <w:szCs w:val="22"/>
        </w:rPr>
        <w:t>“</w:t>
      </w:r>
      <w:proofErr w:type="gramStart"/>
      <w:r w:rsidR="00B52CFD" w:rsidRPr="00DE0CDE">
        <w:rPr>
          <w:rFonts w:ascii="Arial" w:hAnsi="Arial" w:cs="Arial"/>
          <w:i/>
          <w:color w:val="000000"/>
          <w:sz w:val="22"/>
          <w:szCs w:val="22"/>
        </w:rPr>
        <w:t>that</w:t>
      </w:r>
      <w:proofErr w:type="gramEnd"/>
      <w:r w:rsidR="00B52CFD" w:rsidRPr="00DE0CDE">
        <w:rPr>
          <w:rFonts w:ascii="Arial" w:hAnsi="Arial" w:cs="Arial"/>
          <w:i/>
          <w:color w:val="000000"/>
          <w:sz w:val="22"/>
          <w:szCs w:val="22"/>
        </w:rPr>
        <w:t xml:space="preserve"> the other persons to whom the licence applies are suitable persons to participate in the carrying on of the licensed activity;</w:t>
      </w:r>
    </w:p>
    <w:p w14:paraId="099F6085" w14:textId="77777777" w:rsidR="00B52CFD" w:rsidRDefault="00B52CFD" w:rsidP="00B52CFD">
      <w:pPr>
        <w:numPr>
          <w:ilvl w:val="0"/>
          <w:numId w:val="3"/>
        </w:numPr>
        <w:jc w:val="both"/>
        <w:rPr>
          <w:rFonts w:ascii="Arial" w:hAnsi="Arial" w:cs="Arial"/>
          <w:color w:val="000000"/>
          <w:sz w:val="22"/>
          <w:szCs w:val="22"/>
        </w:rPr>
      </w:pPr>
      <w:r w:rsidRPr="00DE0CDE">
        <w:rPr>
          <w:rFonts w:ascii="Arial" w:hAnsi="Arial" w:cs="Arial"/>
          <w:i/>
          <w:color w:val="000000"/>
          <w:sz w:val="22"/>
          <w:szCs w:val="22"/>
        </w:rPr>
        <w:t xml:space="preserve">that suitable practices are used </w:t>
      </w:r>
      <w:proofErr w:type="gramStart"/>
      <w:r w:rsidRPr="00DE0CDE">
        <w:rPr>
          <w:rFonts w:ascii="Arial" w:hAnsi="Arial" w:cs="Arial"/>
          <w:i/>
          <w:color w:val="000000"/>
          <w:sz w:val="22"/>
          <w:szCs w:val="22"/>
        </w:rPr>
        <w:t>in the course of</w:t>
      </w:r>
      <w:proofErr w:type="gramEnd"/>
      <w:r w:rsidRPr="00DE0CDE">
        <w:rPr>
          <w:rFonts w:ascii="Arial" w:hAnsi="Arial" w:cs="Arial"/>
          <w:i/>
          <w:color w:val="000000"/>
          <w:sz w:val="22"/>
          <w:szCs w:val="22"/>
        </w:rPr>
        <w:t xml:space="preserve"> carrying on that activity</w:t>
      </w:r>
      <w:r>
        <w:rPr>
          <w:rFonts w:ascii="Arial" w:hAnsi="Arial" w:cs="Arial"/>
          <w:color w:val="000000"/>
          <w:sz w:val="22"/>
          <w:szCs w:val="22"/>
        </w:rPr>
        <w:t xml:space="preserve">, </w:t>
      </w:r>
      <w:r w:rsidRPr="00163F93">
        <w:rPr>
          <w:rFonts w:ascii="Arial" w:hAnsi="Arial" w:cs="Arial"/>
          <w:i/>
          <w:iCs/>
          <w:color w:val="000000"/>
          <w:sz w:val="22"/>
          <w:szCs w:val="22"/>
        </w:rPr>
        <w:t>including the maintenance of records of stored Relevant Material;</w:t>
      </w:r>
      <w:r>
        <w:rPr>
          <w:rFonts w:ascii="Arial" w:hAnsi="Arial" w:cs="Arial"/>
          <w:color w:val="000000"/>
          <w:sz w:val="22"/>
          <w:szCs w:val="22"/>
        </w:rPr>
        <w:t xml:space="preserve"> </w:t>
      </w:r>
      <w:r w:rsidRPr="00DE0CDE">
        <w:rPr>
          <w:rFonts w:ascii="Arial" w:hAnsi="Arial" w:cs="Arial"/>
          <w:i/>
          <w:color w:val="000000"/>
          <w:sz w:val="22"/>
          <w:szCs w:val="22"/>
        </w:rPr>
        <w:t>and</w:t>
      </w:r>
    </w:p>
    <w:p w14:paraId="4246738E" w14:textId="2416A9E6" w:rsidR="00B52CFD" w:rsidRPr="00DE0CDE" w:rsidRDefault="00B52CFD" w:rsidP="00B52CFD">
      <w:pPr>
        <w:numPr>
          <w:ilvl w:val="0"/>
          <w:numId w:val="3"/>
        </w:numPr>
        <w:jc w:val="both"/>
        <w:rPr>
          <w:rFonts w:ascii="Arial" w:hAnsi="Arial" w:cs="Arial"/>
          <w:i/>
          <w:color w:val="000000"/>
          <w:sz w:val="22"/>
          <w:szCs w:val="22"/>
        </w:rPr>
      </w:pPr>
      <w:r w:rsidRPr="00DE0CDE">
        <w:rPr>
          <w:rFonts w:ascii="Arial" w:hAnsi="Arial" w:cs="Arial"/>
          <w:i/>
          <w:color w:val="000000"/>
          <w:sz w:val="22"/>
          <w:szCs w:val="22"/>
        </w:rPr>
        <w:t>that the conditions of the licence are complied with.</w:t>
      </w:r>
      <w:r w:rsidR="009A26F9">
        <w:rPr>
          <w:rFonts w:ascii="Arial" w:hAnsi="Arial" w:cs="Arial"/>
          <w:i/>
          <w:color w:val="000000"/>
          <w:sz w:val="22"/>
          <w:szCs w:val="22"/>
        </w:rPr>
        <w:t>”</w:t>
      </w:r>
    </w:p>
    <w:p w14:paraId="23CBF2FE" w14:textId="77777777" w:rsidR="00B52CFD" w:rsidRDefault="00B52CFD" w:rsidP="00B52CFD">
      <w:pPr>
        <w:jc w:val="both"/>
        <w:rPr>
          <w:rFonts w:ascii="Arial" w:hAnsi="Arial" w:cs="Arial"/>
          <w:color w:val="000000"/>
          <w:sz w:val="22"/>
          <w:szCs w:val="22"/>
        </w:rPr>
      </w:pPr>
    </w:p>
    <w:p w14:paraId="42A1D60A" w14:textId="77777777" w:rsidR="00B52CFD" w:rsidRPr="00DE0CDE" w:rsidRDefault="00B52CFD" w:rsidP="00B52CFD">
      <w:pPr>
        <w:jc w:val="both"/>
        <w:rPr>
          <w:rFonts w:ascii="Arial" w:hAnsi="Arial" w:cs="Arial"/>
          <w:i/>
          <w:color w:val="000000"/>
          <w:sz w:val="22"/>
          <w:szCs w:val="22"/>
        </w:rPr>
      </w:pPr>
    </w:p>
    <w:p w14:paraId="559D1A51" w14:textId="6FDB7E41" w:rsidR="00B52CFD" w:rsidRDefault="00B52CFD" w:rsidP="00B52CFD">
      <w:pPr>
        <w:jc w:val="both"/>
        <w:rPr>
          <w:rFonts w:ascii="Arial" w:hAnsi="Arial" w:cs="Arial"/>
          <w:color w:val="000000"/>
          <w:sz w:val="22"/>
          <w:szCs w:val="22"/>
        </w:rPr>
      </w:pPr>
      <w:r>
        <w:rPr>
          <w:rFonts w:ascii="Arial" w:hAnsi="Arial" w:cs="Arial"/>
          <w:sz w:val="22"/>
          <w:szCs w:val="22"/>
        </w:rPr>
        <w:t xml:space="preserve">The HTA has the power to revoke the University’s </w:t>
      </w:r>
      <w:r w:rsidR="009A26F9">
        <w:rPr>
          <w:rFonts w:ascii="Arial" w:hAnsi="Arial" w:cs="Arial"/>
          <w:sz w:val="22"/>
          <w:szCs w:val="22"/>
        </w:rPr>
        <w:t>L</w:t>
      </w:r>
      <w:r>
        <w:rPr>
          <w:rFonts w:ascii="Arial" w:hAnsi="Arial" w:cs="Arial"/>
          <w:sz w:val="22"/>
          <w:szCs w:val="22"/>
        </w:rPr>
        <w:t>icences if it is satisfied that a DI has failed to discharge (or is unable because of incapacity to discharge) their duties under section 18 of the HT Act.</w:t>
      </w:r>
    </w:p>
    <w:p w14:paraId="070789B8" w14:textId="77777777" w:rsidR="00B52CFD" w:rsidRDefault="00B52CFD" w:rsidP="00B52CFD">
      <w:pPr>
        <w:jc w:val="both"/>
        <w:rPr>
          <w:rFonts w:ascii="Arial" w:hAnsi="Arial" w:cs="Arial"/>
          <w:color w:val="000000"/>
          <w:sz w:val="22"/>
          <w:szCs w:val="22"/>
        </w:rPr>
      </w:pPr>
    </w:p>
    <w:p w14:paraId="473B07B9" w14:textId="1FB7ED44" w:rsidR="00B52CFD" w:rsidRDefault="00B52CFD" w:rsidP="00B52CFD">
      <w:pPr>
        <w:jc w:val="both"/>
        <w:rPr>
          <w:rFonts w:ascii="Arial" w:hAnsi="Arial" w:cs="Arial"/>
          <w:color w:val="000000"/>
          <w:sz w:val="22"/>
          <w:szCs w:val="22"/>
        </w:rPr>
      </w:pPr>
      <w:r>
        <w:rPr>
          <w:rFonts w:ascii="Arial" w:hAnsi="Arial" w:cs="Arial"/>
          <w:bCs/>
          <w:color w:val="000000"/>
          <w:sz w:val="22"/>
          <w:szCs w:val="22"/>
        </w:rPr>
        <w:t xml:space="preserve">A person should not undertake the role of DI unless they are </w:t>
      </w:r>
      <w:proofErr w:type="gramStart"/>
      <w:r>
        <w:rPr>
          <w:rFonts w:ascii="Arial" w:hAnsi="Arial" w:cs="Arial"/>
          <w:bCs/>
          <w:color w:val="000000"/>
          <w:sz w:val="22"/>
          <w:szCs w:val="22"/>
        </w:rPr>
        <w:t>in a position</w:t>
      </w:r>
      <w:proofErr w:type="gramEnd"/>
      <w:r>
        <w:rPr>
          <w:rFonts w:ascii="Arial" w:hAnsi="Arial" w:cs="Arial"/>
          <w:bCs/>
          <w:color w:val="000000"/>
          <w:sz w:val="22"/>
          <w:szCs w:val="22"/>
        </w:rPr>
        <w:t xml:space="preserve"> to discharge their duties under section 18</w:t>
      </w:r>
      <w:r>
        <w:rPr>
          <w:rFonts w:ascii="Arial" w:hAnsi="Arial" w:cs="Arial"/>
          <w:color w:val="000000"/>
          <w:sz w:val="22"/>
          <w:szCs w:val="22"/>
        </w:rPr>
        <w:t xml:space="preserve">. DIs need to have knowledge and understanding of the HT Act and the </w:t>
      </w:r>
      <w:r w:rsidR="009A26F9">
        <w:rPr>
          <w:rFonts w:ascii="Arial" w:hAnsi="Arial" w:cs="Arial"/>
          <w:color w:val="000000"/>
          <w:sz w:val="22"/>
          <w:szCs w:val="22"/>
        </w:rPr>
        <w:t xml:space="preserve">HTA </w:t>
      </w:r>
      <w:r>
        <w:rPr>
          <w:rFonts w:ascii="Arial" w:hAnsi="Arial" w:cs="Arial"/>
          <w:color w:val="000000"/>
          <w:sz w:val="22"/>
          <w:szCs w:val="22"/>
        </w:rPr>
        <w:t>Codes</w:t>
      </w:r>
      <w:r w:rsidR="007333E2">
        <w:rPr>
          <w:rFonts w:ascii="Arial" w:hAnsi="Arial" w:cs="Arial"/>
          <w:color w:val="000000"/>
          <w:sz w:val="22"/>
          <w:szCs w:val="22"/>
        </w:rPr>
        <w:t xml:space="preserve"> </w:t>
      </w:r>
      <w:r>
        <w:rPr>
          <w:rFonts w:ascii="Arial" w:hAnsi="Arial" w:cs="Arial"/>
          <w:color w:val="000000"/>
          <w:sz w:val="22"/>
          <w:szCs w:val="22"/>
        </w:rPr>
        <w:t>and they should demonstrate managerial capability</w:t>
      </w:r>
      <w:r w:rsidR="002C7C1E">
        <w:rPr>
          <w:rFonts w:ascii="Arial" w:hAnsi="Arial" w:cs="Arial"/>
          <w:color w:val="000000"/>
          <w:sz w:val="22"/>
          <w:szCs w:val="22"/>
        </w:rPr>
        <w:t>,</w:t>
      </w:r>
      <w:r>
        <w:rPr>
          <w:rFonts w:ascii="Arial" w:hAnsi="Arial" w:cs="Arial"/>
          <w:color w:val="000000"/>
          <w:sz w:val="22"/>
          <w:szCs w:val="22"/>
        </w:rPr>
        <w:t xml:space="preserve"> ensuring development and implementation of quality management systems and supervising responsibility to effect change. They should have time within their substantive role to carry out the responsibilities of a DI and to ensure compliance with licen</w:t>
      </w:r>
      <w:r w:rsidR="002C7C1E">
        <w:rPr>
          <w:rFonts w:ascii="Arial" w:hAnsi="Arial" w:cs="Arial"/>
          <w:color w:val="000000"/>
          <w:sz w:val="22"/>
          <w:szCs w:val="22"/>
        </w:rPr>
        <w:t>c</w:t>
      </w:r>
      <w:r>
        <w:rPr>
          <w:rFonts w:ascii="Arial" w:hAnsi="Arial" w:cs="Arial"/>
          <w:color w:val="000000"/>
          <w:sz w:val="22"/>
          <w:szCs w:val="22"/>
        </w:rPr>
        <w:t>e conditions.</w:t>
      </w:r>
    </w:p>
    <w:p w14:paraId="3EA420AB" w14:textId="77777777" w:rsidR="00B52CFD" w:rsidRDefault="00B52CFD" w:rsidP="00B52CFD">
      <w:pPr>
        <w:jc w:val="both"/>
        <w:rPr>
          <w:rFonts w:ascii="Arial" w:hAnsi="Arial" w:cs="Arial"/>
          <w:color w:val="000000"/>
          <w:sz w:val="22"/>
          <w:szCs w:val="22"/>
        </w:rPr>
      </w:pPr>
    </w:p>
    <w:p w14:paraId="39861F81" w14:textId="7D58BFC6" w:rsidR="00B52CFD" w:rsidRDefault="00B52CFD" w:rsidP="00B52CFD">
      <w:pPr>
        <w:jc w:val="both"/>
        <w:rPr>
          <w:rFonts w:ascii="Arial" w:hAnsi="Arial" w:cs="Arial"/>
          <w:color w:val="000000"/>
          <w:sz w:val="22"/>
          <w:szCs w:val="22"/>
        </w:rPr>
      </w:pPr>
      <w:r>
        <w:rPr>
          <w:rFonts w:ascii="Arial" w:hAnsi="Arial" w:cs="Arial"/>
          <w:color w:val="000000"/>
          <w:sz w:val="22"/>
          <w:szCs w:val="22"/>
        </w:rPr>
        <w:t xml:space="preserve">The University has recognised the role of DI as one of </w:t>
      </w:r>
      <w:r w:rsidR="002C7C1E">
        <w:rPr>
          <w:rFonts w:ascii="Arial" w:hAnsi="Arial" w:cs="Arial"/>
          <w:color w:val="000000"/>
          <w:sz w:val="22"/>
          <w:szCs w:val="22"/>
        </w:rPr>
        <w:t xml:space="preserve">its </w:t>
      </w:r>
      <w:r>
        <w:rPr>
          <w:rFonts w:ascii="Arial" w:hAnsi="Arial" w:cs="Arial"/>
          <w:color w:val="000000"/>
          <w:sz w:val="22"/>
          <w:szCs w:val="22"/>
        </w:rPr>
        <w:t>leadership and management roles and it is remunerated accordingly.</w:t>
      </w:r>
      <w:r w:rsidR="007333E2">
        <w:rPr>
          <w:rFonts w:ascii="Arial" w:hAnsi="Arial" w:cs="Arial"/>
          <w:color w:val="000000"/>
          <w:sz w:val="22"/>
          <w:szCs w:val="22"/>
        </w:rPr>
        <w:t xml:space="preserve"> </w:t>
      </w:r>
    </w:p>
    <w:p w14:paraId="69737A77" w14:textId="77777777" w:rsidR="00B52CFD" w:rsidRDefault="00B52CFD" w:rsidP="00B52CFD">
      <w:pPr>
        <w:jc w:val="both"/>
        <w:rPr>
          <w:rFonts w:ascii="Arial" w:hAnsi="Arial" w:cs="Arial"/>
          <w:color w:val="000000"/>
          <w:sz w:val="22"/>
          <w:szCs w:val="22"/>
        </w:rPr>
      </w:pPr>
    </w:p>
    <w:p w14:paraId="0E2E28EF" w14:textId="6FB7ADD7" w:rsidR="00B52CFD" w:rsidRDefault="00B52CFD" w:rsidP="00B52CFD">
      <w:pPr>
        <w:jc w:val="both"/>
        <w:rPr>
          <w:rFonts w:ascii="Arial" w:hAnsi="Arial" w:cs="Arial"/>
          <w:sz w:val="22"/>
          <w:szCs w:val="22"/>
        </w:rPr>
      </w:pPr>
      <w:r>
        <w:rPr>
          <w:rFonts w:ascii="Arial" w:hAnsi="Arial" w:cs="Arial"/>
          <w:color w:val="000000"/>
          <w:sz w:val="22"/>
          <w:szCs w:val="22"/>
        </w:rPr>
        <w:t xml:space="preserve">Heads of School and Deans need to have a general understanding of the responsibilities of the DIs in their </w:t>
      </w:r>
      <w:r w:rsidR="002C7C1E">
        <w:rPr>
          <w:rFonts w:ascii="Arial" w:hAnsi="Arial" w:cs="Arial"/>
          <w:color w:val="000000"/>
          <w:sz w:val="22"/>
          <w:szCs w:val="22"/>
        </w:rPr>
        <w:t xml:space="preserve">School </w:t>
      </w:r>
      <w:r>
        <w:rPr>
          <w:rFonts w:ascii="Arial" w:hAnsi="Arial" w:cs="Arial"/>
          <w:color w:val="000000"/>
          <w:sz w:val="22"/>
          <w:szCs w:val="22"/>
        </w:rPr>
        <w:t xml:space="preserve">or </w:t>
      </w:r>
      <w:r w:rsidR="002C7C1E">
        <w:rPr>
          <w:rFonts w:ascii="Arial" w:hAnsi="Arial" w:cs="Arial"/>
          <w:color w:val="000000"/>
          <w:sz w:val="22"/>
          <w:szCs w:val="22"/>
        </w:rPr>
        <w:t>F</w:t>
      </w:r>
      <w:r>
        <w:rPr>
          <w:rFonts w:ascii="Arial" w:hAnsi="Arial" w:cs="Arial"/>
          <w:color w:val="000000"/>
          <w:sz w:val="22"/>
          <w:szCs w:val="22"/>
        </w:rPr>
        <w:t xml:space="preserve">aculty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ensure that the DI has the requisite authority and support from them to fulfil their duties under the HT Act and the </w:t>
      </w:r>
      <w:r w:rsidR="009A26F9">
        <w:rPr>
          <w:rFonts w:ascii="Arial" w:hAnsi="Arial" w:cs="Arial"/>
          <w:color w:val="000000"/>
          <w:sz w:val="22"/>
          <w:szCs w:val="22"/>
        </w:rPr>
        <w:t xml:space="preserve">HTA </w:t>
      </w:r>
      <w:r>
        <w:rPr>
          <w:rFonts w:ascii="Arial" w:hAnsi="Arial" w:cs="Arial"/>
          <w:color w:val="000000"/>
          <w:sz w:val="22"/>
          <w:szCs w:val="22"/>
        </w:rPr>
        <w:t>Codes.</w:t>
      </w:r>
    </w:p>
    <w:p w14:paraId="1BE51C69" w14:textId="77777777" w:rsidR="00B52CFD" w:rsidRDefault="00B52CFD" w:rsidP="00B52CFD">
      <w:pPr>
        <w:rPr>
          <w:rFonts w:ascii="Arial" w:hAnsi="Arial" w:cs="Arial"/>
          <w:b/>
        </w:rPr>
      </w:pPr>
    </w:p>
    <w:p w14:paraId="3F7FBBD7" w14:textId="77777777" w:rsidR="00B52CFD" w:rsidRDefault="00B52CFD" w:rsidP="00110A8B">
      <w:pPr>
        <w:numPr>
          <w:ilvl w:val="0"/>
          <w:numId w:val="2"/>
        </w:numPr>
        <w:rPr>
          <w:rFonts w:ascii="Arial" w:hAnsi="Arial" w:cs="Arial"/>
          <w:b/>
        </w:rPr>
      </w:pPr>
      <w:r>
        <w:rPr>
          <w:rFonts w:ascii="Arial" w:hAnsi="Arial" w:cs="Arial"/>
          <w:b/>
        </w:rPr>
        <w:t>Authority of DIs</w:t>
      </w:r>
    </w:p>
    <w:p w14:paraId="2255FCD3" w14:textId="77777777" w:rsidR="00B52CFD" w:rsidRDefault="00B52CFD" w:rsidP="00B52CFD">
      <w:pPr>
        <w:jc w:val="both"/>
        <w:rPr>
          <w:rFonts w:ascii="Arial" w:hAnsi="Arial" w:cs="Arial"/>
          <w:sz w:val="22"/>
          <w:szCs w:val="22"/>
        </w:rPr>
      </w:pPr>
    </w:p>
    <w:p w14:paraId="57D0FCB3" w14:textId="7EA7DB35" w:rsidR="00B52CFD" w:rsidRDefault="00B52CFD" w:rsidP="00B52CFD">
      <w:pPr>
        <w:jc w:val="both"/>
        <w:rPr>
          <w:rFonts w:ascii="Arial" w:hAnsi="Arial" w:cs="Arial"/>
          <w:sz w:val="22"/>
          <w:szCs w:val="22"/>
        </w:rPr>
      </w:pPr>
      <w:r>
        <w:rPr>
          <w:rFonts w:ascii="Arial" w:hAnsi="Arial" w:cs="Arial"/>
          <w:bCs/>
          <w:sz w:val="22"/>
          <w:szCs w:val="22"/>
        </w:rPr>
        <w:t xml:space="preserve">Notwithstanding any formal line management responsibilities, DIs are authorised to give </w:t>
      </w:r>
      <w:r w:rsidR="001475B8">
        <w:rPr>
          <w:rFonts w:ascii="Arial" w:hAnsi="Arial" w:cs="Arial"/>
          <w:bCs/>
          <w:sz w:val="22"/>
          <w:szCs w:val="22"/>
        </w:rPr>
        <w:t xml:space="preserve">instructions and </w:t>
      </w:r>
      <w:r>
        <w:rPr>
          <w:rFonts w:ascii="Arial" w:hAnsi="Arial" w:cs="Arial"/>
          <w:bCs/>
          <w:sz w:val="22"/>
          <w:szCs w:val="22"/>
        </w:rPr>
        <w:t xml:space="preserve">directions to students and staff, including staff more senior to themselves, as necessary </w:t>
      </w:r>
      <w:proofErr w:type="gramStart"/>
      <w:r>
        <w:rPr>
          <w:rFonts w:ascii="Arial" w:hAnsi="Arial" w:cs="Arial"/>
          <w:bCs/>
          <w:sz w:val="22"/>
          <w:szCs w:val="22"/>
        </w:rPr>
        <w:t>in order to</w:t>
      </w:r>
      <w:proofErr w:type="gramEnd"/>
      <w:r>
        <w:rPr>
          <w:rFonts w:ascii="Arial" w:hAnsi="Arial" w:cs="Arial"/>
          <w:bCs/>
          <w:sz w:val="22"/>
          <w:szCs w:val="22"/>
        </w:rPr>
        <w:t xml:space="preserve"> ensure compliance with the conditions of the </w:t>
      </w:r>
      <w:r w:rsidR="00150FB1">
        <w:rPr>
          <w:rFonts w:ascii="Arial" w:hAnsi="Arial" w:cs="Arial"/>
          <w:bCs/>
          <w:sz w:val="22"/>
          <w:szCs w:val="22"/>
        </w:rPr>
        <w:t>L</w:t>
      </w:r>
      <w:r>
        <w:rPr>
          <w:rFonts w:ascii="Arial" w:hAnsi="Arial" w:cs="Arial"/>
          <w:bCs/>
          <w:sz w:val="22"/>
          <w:szCs w:val="22"/>
        </w:rPr>
        <w:t xml:space="preserve">icence. Failure of staff or students to comply with such </w:t>
      </w:r>
      <w:r w:rsidR="00170C04">
        <w:rPr>
          <w:rFonts w:ascii="Arial" w:hAnsi="Arial" w:cs="Arial"/>
          <w:bCs/>
          <w:sz w:val="22"/>
          <w:szCs w:val="22"/>
        </w:rPr>
        <w:t xml:space="preserve">instructions and </w:t>
      </w:r>
      <w:r>
        <w:rPr>
          <w:rFonts w:ascii="Arial" w:hAnsi="Arial" w:cs="Arial"/>
          <w:bCs/>
          <w:sz w:val="22"/>
          <w:szCs w:val="22"/>
        </w:rPr>
        <w:t xml:space="preserve">directions from a DI may result in the member of staff or student being forbidden to continue with an activity involving Relevant Material and may amount to misconduct or gross </w:t>
      </w:r>
      <w:r>
        <w:rPr>
          <w:rFonts w:ascii="Arial" w:hAnsi="Arial" w:cs="Arial"/>
          <w:bCs/>
          <w:sz w:val="22"/>
          <w:szCs w:val="22"/>
        </w:rPr>
        <w:lastRenderedPageBreak/>
        <w:t>misconduct resulting in disciplinary action being taken against the member of staff or</w:t>
      </w:r>
      <w:r>
        <w:rPr>
          <w:rFonts w:ascii="Arial" w:hAnsi="Arial" w:cs="Arial"/>
          <w:sz w:val="22"/>
          <w:szCs w:val="22"/>
        </w:rPr>
        <w:t xml:space="preserve"> </w:t>
      </w:r>
      <w:r>
        <w:rPr>
          <w:rFonts w:ascii="Arial" w:hAnsi="Arial" w:cs="Arial"/>
          <w:bCs/>
          <w:sz w:val="22"/>
          <w:szCs w:val="22"/>
        </w:rPr>
        <w:t>student</w:t>
      </w:r>
      <w:r>
        <w:rPr>
          <w:rFonts w:ascii="Arial" w:hAnsi="Arial" w:cs="Arial"/>
          <w:sz w:val="22"/>
          <w:szCs w:val="22"/>
        </w:rPr>
        <w:t xml:space="preserve">. The University will support its DIs in the exercise of their authority </w:t>
      </w:r>
      <w:proofErr w:type="gramStart"/>
      <w:r>
        <w:rPr>
          <w:rFonts w:ascii="Arial" w:hAnsi="Arial" w:cs="Arial"/>
          <w:sz w:val="22"/>
          <w:szCs w:val="22"/>
        </w:rPr>
        <w:t>in order to</w:t>
      </w:r>
      <w:proofErr w:type="gramEnd"/>
      <w:r>
        <w:rPr>
          <w:rFonts w:ascii="Arial" w:hAnsi="Arial" w:cs="Arial"/>
          <w:sz w:val="22"/>
          <w:szCs w:val="22"/>
        </w:rPr>
        <w:t xml:space="preserve"> protect the DIs from criminal prosecution and to protect the University from loss of its licences</w:t>
      </w:r>
      <w:r w:rsidR="00170C04">
        <w:rPr>
          <w:rFonts w:ascii="Arial" w:hAnsi="Arial" w:cs="Arial"/>
          <w:sz w:val="22"/>
          <w:szCs w:val="22"/>
        </w:rPr>
        <w:t xml:space="preserve"> and reputational damage</w:t>
      </w:r>
      <w:r>
        <w:rPr>
          <w:rFonts w:ascii="Arial" w:hAnsi="Arial" w:cs="Arial"/>
          <w:sz w:val="22"/>
          <w:szCs w:val="22"/>
        </w:rPr>
        <w:t>.</w:t>
      </w:r>
    </w:p>
    <w:p w14:paraId="4AF13CC8" w14:textId="77777777" w:rsidR="002219AE" w:rsidRDefault="002219AE" w:rsidP="002219AE">
      <w:pPr>
        <w:jc w:val="both"/>
        <w:rPr>
          <w:rFonts w:ascii="Arial" w:hAnsi="Arial" w:cs="Arial"/>
          <w:b/>
          <w:sz w:val="22"/>
          <w:szCs w:val="22"/>
          <w:highlight w:val="yellow"/>
        </w:rPr>
      </w:pPr>
    </w:p>
    <w:p w14:paraId="16C83084" w14:textId="004DD122" w:rsidR="002219AE" w:rsidRDefault="002219AE" w:rsidP="00B52CFD">
      <w:pPr>
        <w:jc w:val="both"/>
        <w:rPr>
          <w:rFonts w:ascii="Arial" w:hAnsi="Arial" w:cs="Arial"/>
          <w:sz w:val="22"/>
          <w:szCs w:val="22"/>
        </w:rPr>
      </w:pPr>
      <w:r>
        <w:rPr>
          <w:rFonts w:ascii="Arial" w:hAnsi="Arial" w:cs="Arial"/>
          <w:sz w:val="22"/>
          <w:szCs w:val="22"/>
        </w:rPr>
        <w:t xml:space="preserve">A breach of a duty by a DI can result in serious penalties including fines and up to three years imprisonment. It is therefore important that clear lines of accountability exist between DIs and individuals who participate in a licensed activity for which that DI is responsible. </w:t>
      </w:r>
    </w:p>
    <w:p w14:paraId="57BE7B84" w14:textId="77777777" w:rsidR="00970F39" w:rsidRDefault="00970F39" w:rsidP="00B52CFD">
      <w:pPr>
        <w:rPr>
          <w:rFonts w:ascii="Arial" w:hAnsi="Arial" w:cs="Arial"/>
          <w:b/>
        </w:rPr>
      </w:pPr>
    </w:p>
    <w:p w14:paraId="1CA9152D" w14:textId="77777777" w:rsidR="00B52CFD" w:rsidRDefault="00B52CFD" w:rsidP="003C67C7">
      <w:pPr>
        <w:numPr>
          <w:ilvl w:val="0"/>
          <w:numId w:val="2"/>
        </w:numPr>
        <w:rPr>
          <w:rFonts w:ascii="Arial" w:hAnsi="Arial" w:cs="Arial"/>
          <w:b/>
        </w:rPr>
      </w:pPr>
      <w:r>
        <w:rPr>
          <w:rFonts w:ascii="Arial" w:hAnsi="Arial" w:cs="Arial"/>
          <w:b/>
        </w:rPr>
        <w:t>Insurance and Indemnities for DIs</w:t>
      </w:r>
    </w:p>
    <w:p w14:paraId="1D9E2CFA" w14:textId="77777777" w:rsidR="00B52CFD" w:rsidRDefault="00B52CFD" w:rsidP="00B52CFD">
      <w:pPr>
        <w:jc w:val="both"/>
        <w:rPr>
          <w:rFonts w:ascii="Arial" w:hAnsi="Arial" w:cs="Arial"/>
          <w:b/>
          <w:bCs/>
          <w:sz w:val="22"/>
          <w:szCs w:val="22"/>
          <w:u w:val="single"/>
        </w:rPr>
      </w:pPr>
    </w:p>
    <w:p w14:paraId="58302D30" w14:textId="77777777" w:rsidR="00B52CFD" w:rsidRDefault="00B52CFD" w:rsidP="00B52CFD">
      <w:pPr>
        <w:jc w:val="both"/>
        <w:rPr>
          <w:rFonts w:ascii="Arial" w:hAnsi="Arial" w:cs="Arial"/>
          <w:bCs/>
          <w:i/>
          <w:sz w:val="22"/>
          <w:szCs w:val="22"/>
        </w:rPr>
      </w:pPr>
      <w:r>
        <w:rPr>
          <w:rFonts w:ascii="Arial" w:hAnsi="Arial" w:cs="Arial"/>
          <w:bCs/>
          <w:i/>
          <w:sz w:val="22"/>
          <w:szCs w:val="22"/>
        </w:rPr>
        <w:t>1. What is the extent of an individual DI’s personal liability?</w:t>
      </w:r>
    </w:p>
    <w:p w14:paraId="4B427762" w14:textId="77777777" w:rsidR="00B52CFD" w:rsidRDefault="00B52CFD" w:rsidP="00B52CFD">
      <w:pPr>
        <w:jc w:val="both"/>
        <w:rPr>
          <w:rFonts w:ascii="Arial" w:hAnsi="Arial" w:cs="Arial"/>
          <w:b/>
          <w:bCs/>
          <w:sz w:val="22"/>
          <w:szCs w:val="22"/>
          <w:u w:val="single"/>
        </w:rPr>
      </w:pPr>
    </w:p>
    <w:p w14:paraId="4FEAC87C" w14:textId="77777777" w:rsidR="00B52CFD" w:rsidRDefault="00B52CFD" w:rsidP="00B52CFD">
      <w:pPr>
        <w:jc w:val="both"/>
        <w:rPr>
          <w:rFonts w:ascii="Arial" w:hAnsi="Arial" w:cs="Arial"/>
          <w:sz w:val="22"/>
          <w:szCs w:val="22"/>
        </w:rPr>
      </w:pPr>
      <w:r>
        <w:rPr>
          <w:rFonts w:ascii="Arial" w:hAnsi="Arial" w:cs="Arial"/>
          <w:sz w:val="22"/>
          <w:szCs w:val="22"/>
        </w:rPr>
        <w:t>DIs are personally responsible for compliance with the HT Act on their HTA licensed premises.</w:t>
      </w:r>
    </w:p>
    <w:p w14:paraId="7D1A2DBC" w14:textId="77777777" w:rsidR="00B52CFD" w:rsidRDefault="00B52CFD" w:rsidP="00B52CFD">
      <w:pPr>
        <w:jc w:val="both"/>
        <w:rPr>
          <w:rFonts w:ascii="Arial" w:hAnsi="Arial" w:cs="Arial"/>
          <w:sz w:val="22"/>
          <w:szCs w:val="22"/>
        </w:rPr>
      </w:pPr>
    </w:p>
    <w:p w14:paraId="70598CB1" w14:textId="77777777" w:rsidR="00B52CFD" w:rsidRDefault="00B52CFD" w:rsidP="00B52CFD">
      <w:pPr>
        <w:jc w:val="both"/>
        <w:rPr>
          <w:rFonts w:ascii="Arial" w:hAnsi="Arial" w:cs="Arial"/>
          <w:bCs/>
          <w:sz w:val="22"/>
          <w:szCs w:val="22"/>
        </w:rPr>
      </w:pPr>
      <w:r>
        <w:rPr>
          <w:rFonts w:ascii="Arial" w:hAnsi="Arial" w:cs="Arial"/>
          <w:bCs/>
          <w:sz w:val="22"/>
          <w:szCs w:val="22"/>
        </w:rPr>
        <w:t>Offences under the HT Act and the Regulations include:</w:t>
      </w:r>
    </w:p>
    <w:p w14:paraId="367744D5" w14:textId="77777777" w:rsidR="00B52CFD" w:rsidRDefault="00B52CFD" w:rsidP="00B52CFD">
      <w:pPr>
        <w:numPr>
          <w:ilvl w:val="0"/>
          <w:numId w:val="4"/>
        </w:numPr>
        <w:jc w:val="both"/>
        <w:rPr>
          <w:rFonts w:ascii="Arial" w:hAnsi="Arial" w:cs="Arial"/>
          <w:sz w:val="22"/>
          <w:szCs w:val="22"/>
        </w:rPr>
      </w:pPr>
      <w:r>
        <w:rPr>
          <w:rFonts w:ascii="Arial" w:hAnsi="Arial" w:cs="Arial"/>
          <w:bCs/>
          <w:sz w:val="22"/>
          <w:szCs w:val="22"/>
        </w:rPr>
        <w:t xml:space="preserve">removing, storing or using Relevant Material for Scheduled Purposes, on unlicensed </w:t>
      </w:r>
      <w:proofErr w:type="gramStart"/>
      <w:r>
        <w:rPr>
          <w:rFonts w:ascii="Arial" w:hAnsi="Arial" w:cs="Arial"/>
          <w:bCs/>
          <w:sz w:val="22"/>
          <w:szCs w:val="22"/>
        </w:rPr>
        <w:t>premises;</w:t>
      </w:r>
      <w:proofErr w:type="gramEnd"/>
    </w:p>
    <w:p w14:paraId="189873D3" w14:textId="77777777" w:rsidR="00B52CFD" w:rsidRDefault="00B52CFD" w:rsidP="00B52CFD">
      <w:pPr>
        <w:pStyle w:val="BodyText"/>
        <w:numPr>
          <w:ilvl w:val="0"/>
          <w:numId w:val="4"/>
        </w:numPr>
        <w:jc w:val="both"/>
        <w:rPr>
          <w:bCs/>
          <w:szCs w:val="22"/>
        </w:rPr>
      </w:pPr>
      <w:r>
        <w:rPr>
          <w:bCs/>
          <w:szCs w:val="22"/>
        </w:rPr>
        <w:t xml:space="preserve">removing, storing or using Relevant Material for Scheduled Purposes, without appropriate consent for that </w:t>
      </w:r>
      <w:proofErr w:type="gramStart"/>
      <w:r>
        <w:rPr>
          <w:bCs/>
          <w:szCs w:val="22"/>
        </w:rPr>
        <w:t>purpose;</w:t>
      </w:r>
      <w:proofErr w:type="gramEnd"/>
      <w:r>
        <w:rPr>
          <w:bCs/>
          <w:szCs w:val="22"/>
        </w:rPr>
        <w:t xml:space="preserve"> </w:t>
      </w:r>
    </w:p>
    <w:p w14:paraId="2BA03454" w14:textId="77777777" w:rsidR="00B52CFD" w:rsidRDefault="00B52CFD" w:rsidP="00B52CFD">
      <w:pPr>
        <w:pStyle w:val="BodyText"/>
        <w:numPr>
          <w:ilvl w:val="0"/>
          <w:numId w:val="4"/>
        </w:numPr>
        <w:jc w:val="both"/>
        <w:rPr>
          <w:bCs/>
          <w:szCs w:val="22"/>
        </w:rPr>
      </w:pPr>
      <w:r>
        <w:rPr>
          <w:bCs/>
          <w:szCs w:val="22"/>
        </w:rPr>
        <w:t xml:space="preserve">carrying out licensable activities without holding a licence from the </w:t>
      </w:r>
      <w:proofErr w:type="gramStart"/>
      <w:r>
        <w:rPr>
          <w:bCs/>
          <w:szCs w:val="22"/>
        </w:rPr>
        <w:t>HTA;</w:t>
      </w:r>
      <w:proofErr w:type="gramEnd"/>
    </w:p>
    <w:p w14:paraId="3C0449B7" w14:textId="77777777" w:rsidR="00B52CFD" w:rsidRDefault="00B52CFD" w:rsidP="00B52CFD">
      <w:pPr>
        <w:pStyle w:val="BodyText"/>
        <w:numPr>
          <w:ilvl w:val="0"/>
          <w:numId w:val="4"/>
        </w:numPr>
        <w:jc w:val="both"/>
        <w:rPr>
          <w:bCs/>
          <w:szCs w:val="22"/>
        </w:rPr>
      </w:pPr>
      <w:r>
        <w:rPr>
          <w:bCs/>
          <w:szCs w:val="22"/>
        </w:rPr>
        <w:t xml:space="preserve">failing to produce records or otherwise obstructing the HTA in carrying out its statutory </w:t>
      </w:r>
      <w:proofErr w:type="gramStart"/>
      <w:r>
        <w:rPr>
          <w:bCs/>
          <w:szCs w:val="22"/>
        </w:rPr>
        <w:t>responsibilities;</w:t>
      </w:r>
      <w:proofErr w:type="gramEnd"/>
    </w:p>
    <w:p w14:paraId="0B8CCB19" w14:textId="77777777" w:rsidR="00B52CFD" w:rsidRDefault="00B52CFD" w:rsidP="00B52CFD">
      <w:pPr>
        <w:pStyle w:val="BodyText"/>
        <w:numPr>
          <w:ilvl w:val="0"/>
          <w:numId w:val="4"/>
        </w:numPr>
        <w:jc w:val="both"/>
        <w:rPr>
          <w:bCs/>
          <w:szCs w:val="22"/>
        </w:rPr>
      </w:pPr>
      <w:r>
        <w:rPr>
          <w:bCs/>
          <w:szCs w:val="22"/>
        </w:rPr>
        <w:t>storing Relevant Material with the intention of extracting and analysing the DNA without the consent of the individual from whom the Relevant Material came (with exemptions for medical diagnosis and treatment, and for criminal investigations).</w:t>
      </w:r>
    </w:p>
    <w:p w14:paraId="0BD4EC3E" w14:textId="52E038E2" w:rsidR="00150FB1" w:rsidRDefault="00150FB1" w:rsidP="00B52CFD">
      <w:pPr>
        <w:pStyle w:val="BodyText"/>
        <w:numPr>
          <w:ilvl w:val="0"/>
          <w:numId w:val="4"/>
        </w:numPr>
        <w:jc w:val="both"/>
        <w:rPr>
          <w:bCs/>
          <w:szCs w:val="22"/>
        </w:rPr>
      </w:pPr>
      <w:r>
        <w:rPr>
          <w:bCs/>
          <w:szCs w:val="22"/>
        </w:rPr>
        <w:t xml:space="preserve">holding Bodily Material without the qualifying consent of the person concerned </w:t>
      </w:r>
      <w:r w:rsidR="004E6DE7">
        <w:rPr>
          <w:bCs/>
          <w:szCs w:val="22"/>
        </w:rPr>
        <w:t xml:space="preserve">with the </w:t>
      </w:r>
      <w:r>
        <w:rPr>
          <w:bCs/>
          <w:szCs w:val="22"/>
        </w:rPr>
        <w:t>inten</w:t>
      </w:r>
      <w:r w:rsidR="004E6DE7">
        <w:rPr>
          <w:bCs/>
          <w:szCs w:val="22"/>
        </w:rPr>
        <w:t>tion of extracting and</w:t>
      </w:r>
      <w:r>
        <w:rPr>
          <w:bCs/>
          <w:szCs w:val="22"/>
        </w:rPr>
        <w:t xml:space="preserve"> analys</w:t>
      </w:r>
      <w:r w:rsidR="004E6DE7">
        <w:rPr>
          <w:bCs/>
          <w:szCs w:val="22"/>
        </w:rPr>
        <w:t>ing</w:t>
      </w:r>
      <w:r>
        <w:rPr>
          <w:bCs/>
          <w:szCs w:val="22"/>
        </w:rPr>
        <w:t xml:space="preserve"> the DNA and </w:t>
      </w:r>
      <w:r w:rsidR="004E6DE7">
        <w:rPr>
          <w:bCs/>
          <w:szCs w:val="22"/>
        </w:rPr>
        <w:t xml:space="preserve">using </w:t>
      </w:r>
      <w:r>
        <w:rPr>
          <w:bCs/>
          <w:szCs w:val="22"/>
        </w:rPr>
        <w:t>the results</w:t>
      </w:r>
      <w:r w:rsidR="00F67157">
        <w:rPr>
          <w:bCs/>
          <w:szCs w:val="22"/>
        </w:rPr>
        <w:t>.</w:t>
      </w:r>
    </w:p>
    <w:p w14:paraId="78167F75" w14:textId="77777777" w:rsidR="002A5217" w:rsidRDefault="002A5217" w:rsidP="00B52CFD">
      <w:pPr>
        <w:pStyle w:val="BodyText"/>
        <w:jc w:val="both"/>
        <w:rPr>
          <w:i/>
          <w:szCs w:val="22"/>
        </w:rPr>
      </w:pPr>
    </w:p>
    <w:p w14:paraId="5AD67C95" w14:textId="08B3E2F5" w:rsidR="00B52CFD" w:rsidRDefault="00B52CFD" w:rsidP="00B52CFD">
      <w:pPr>
        <w:pStyle w:val="BodyText"/>
        <w:jc w:val="both"/>
        <w:rPr>
          <w:i/>
          <w:szCs w:val="22"/>
        </w:rPr>
      </w:pPr>
      <w:r>
        <w:rPr>
          <w:i/>
          <w:szCs w:val="22"/>
        </w:rPr>
        <w:t>2. What are the penalties for offences?</w:t>
      </w:r>
    </w:p>
    <w:p w14:paraId="71765397" w14:textId="77777777" w:rsidR="00B52CFD" w:rsidRDefault="00B52CFD" w:rsidP="00B52CFD">
      <w:pPr>
        <w:pStyle w:val="BodyText"/>
        <w:jc w:val="both"/>
        <w:rPr>
          <w:szCs w:val="22"/>
        </w:rPr>
      </w:pPr>
    </w:p>
    <w:p w14:paraId="6371C489" w14:textId="77777777" w:rsidR="00B52CFD" w:rsidRDefault="00B52CFD" w:rsidP="00B52CFD">
      <w:pPr>
        <w:jc w:val="both"/>
        <w:rPr>
          <w:rFonts w:ascii="Arial" w:hAnsi="Arial" w:cs="Arial"/>
          <w:sz w:val="22"/>
          <w:szCs w:val="22"/>
        </w:rPr>
      </w:pPr>
      <w:r>
        <w:rPr>
          <w:rFonts w:ascii="Arial" w:hAnsi="Arial" w:cs="Arial"/>
          <w:sz w:val="22"/>
          <w:szCs w:val="22"/>
        </w:rPr>
        <w:t xml:space="preserve">Offences can be tried in a magistrates’ </w:t>
      </w:r>
      <w:proofErr w:type="gramStart"/>
      <w:r>
        <w:rPr>
          <w:rFonts w:ascii="Arial" w:hAnsi="Arial" w:cs="Arial"/>
          <w:sz w:val="22"/>
          <w:szCs w:val="22"/>
        </w:rPr>
        <w:t>court</w:t>
      </w:r>
      <w:proofErr w:type="gramEnd"/>
      <w:r>
        <w:rPr>
          <w:rFonts w:ascii="Arial" w:hAnsi="Arial" w:cs="Arial"/>
          <w:sz w:val="22"/>
          <w:szCs w:val="22"/>
        </w:rPr>
        <w:t xml:space="preserve"> or a Crown court and penalties range from a fine, to imprisonment for up to three years, or both. </w:t>
      </w:r>
    </w:p>
    <w:p w14:paraId="1E8D9F34" w14:textId="77777777" w:rsidR="00B52CFD" w:rsidRDefault="00B52CFD" w:rsidP="00B52CFD">
      <w:pPr>
        <w:jc w:val="both"/>
        <w:rPr>
          <w:rFonts w:ascii="Arial" w:hAnsi="Arial" w:cs="Arial"/>
          <w:sz w:val="22"/>
          <w:szCs w:val="22"/>
        </w:rPr>
      </w:pPr>
    </w:p>
    <w:p w14:paraId="3A2142CA" w14:textId="77777777" w:rsidR="00B52CFD" w:rsidRDefault="00B52CFD" w:rsidP="00B52CFD">
      <w:pPr>
        <w:jc w:val="both"/>
        <w:rPr>
          <w:rFonts w:ascii="Arial" w:hAnsi="Arial" w:cs="Arial"/>
          <w:bCs/>
          <w:i/>
          <w:sz w:val="22"/>
          <w:szCs w:val="22"/>
        </w:rPr>
      </w:pPr>
      <w:r>
        <w:rPr>
          <w:rFonts w:ascii="Arial" w:hAnsi="Arial" w:cs="Arial"/>
          <w:bCs/>
          <w:i/>
          <w:sz w:val="22"/>
          <w:szCs w:val="22"/>
        </w:rPr>
        <w:t>3. What insurance cover does the University provide to DIs?</w:t>
      </w:r>
    </w:p>
    <w:p w14:paraId="290C225D" w14:textId="77777777" w:rsidR="00B52CFD" w:rsidRDefault="00B52CFD" w:rsidP="00B52CFD">
      <w:pPr>
        <w:jc w:val="both"/>
        <w:rPr>
          <w:rFonts w:ascii="Arial" w:hAnsi="Arial" w:cs="Arial"/>
          <w:sz w:val="22"/>
          <w:szCs w:val="22"/>
        </w:rPr>
      </w:pPr>
    </w:p>
    <w:p w14:paraId="518F219A" w14:textId="77777777" w:rsidR="00B52CFD" w:rsidRDefault="00B52CFD" w:rsidP="00B52CFD">
      <w:pPr>
        <w:jc w:val="both"/>
        <w:rPr>
          <w:rFonts w:ascii="Arial" w:hAnsi="Arial" w:cs="Arial"/>
          <w:sz w:val="22"/>
          <w:szCs w:val="22"/>
        </w:rPr>
      </w:pPr>
      <w:r>
        <w:rPr>
          <w:rFonts w:ascii="Arial" w:hAnsi="Arial" w:cs="Arial"/>
          <w:sz w:val="22"/>
          <w:szCs w:val="22"/>
        </w:rPr>
        <w:t>The University holds insurance that protects DIs against the cost of legal expenses up to the indemnity limit to defend themselves against prosecutions under the HT Act and the Regulations. This is known as “Directors’ and Officers’ Liability” insurance.</w:t>
      </w:r>
    </w:p>
    <w:p w14:paraId="7B08E649" w14:textId="77777777" w:rsidR="00B52CFD" w:rsidRDefault="00B52CFD" w:rsidP="00B52CFD">
      <w:pPr>
        <w:jc w:val="both"/>
        <w:rPr>
          <w:rFonts w:ascii="Arial" w:hAnsi="Arial" w:cs="Arial"/>
          <w:sz w:val="22"/>
          <w:szCs w:val="22"/>
        </w:rPr>
      </w:pPr>
    </w:p>
    <w:p w14:paraId="1F777A74" w14:textId="77777777" w:rsidR="00B52CFD" w:rsidRDefault="00B52CFD" w:rsidP="00B52CFD">
      <w:pPr>
        <w:jc w:val="both"/>
        <w:rPr>
          <w:rFonts w:ascii="Arial" w:hAnsi="Arial" w:cs="Arial"/>
          <w:sz w:val="22"/>
          <w:szCs w:val="22"/>
        </w:rPr>
      </w:pPr>
      <w:r>
        <w:rPr>
          <w:rFonts w:ascii="Arial" w:hAnsi="Arial" w:cs="Arial"/>
          <w:sz w:val="22"/>
          <w:szCs w:val="22"/>
        </w:rPr>
        <w:t xml:space="preserve">The </w:t>
      </w:r>
      <w:r w:rsidR="002C7C1E">
        <w:rPr>
          <w:rFonts w:ascii="Arial" w:hAnsi="Arial" w:cs="Arial"/>
          <w:sz w:val="22"/>
          <w:szCs w:val="22"/>
        </w:rPr>
        <w:t xml:space="preserve">insurance </w:t>
      </w:r>
      <w:r>
        <w:rPr>
          <w:rFonts w:ascii="Arial" w:hAnsi="Arial" w:cs="Arial"/>
          <w:sz w:val="22"/>
          <w:szCs w:val="22"/>
        </w:rPr>
        <w:t xml:space="preserve">policy provides cover should any employee of the University be held personally liable for any </w:t>
      </w:r>
      <w:r>
        <w:rPr>
          <w:rFonts w:ascii="Arial" w:hAnsi="Arial" w:cs="Arial"/>
          <w:i/>
          <w:iCs/>
          <w:sz w:val="22"/>
          <w:szCs w:val="22"/>
        </w:rPr>
        <w:t>wrongful act</w:t>
      </w:r>
      <w:r>
        <w:rPr>
          <w:rFonts w:ascii="Arial" w:hAnsi="Arial" w:cs="Arial"/>
          <w:sz w:val="22"/>
          <w:szCs w:val="22"/>
        </w:rPr>
        <w:t xml:space="preserve"> committed or alleged to have been committed by the employee </w:t>
      </w:r>
      <w:proofErr w:type="gramStart"/>
      <w:r>
        <w:rPr>
          <w:rFonts w:ascii="Arial" w:hAnsi="Arial" w:cs="Arial"/>
          <w:sz w:val="22"/>
          <w:szCs w:val="22"/>
        </w:rPr>
        <w:t>in the course of</w:t>
      </w:r>
      <w:proofErr w:type="gramEnd"/>
      <w:r>
        <w:rPr>
          <w:rFonts w:ascii="Arial" w:hAnsi="Arial" w:cs="Arial"/>
          <w:sz w:val="22"/>
          <w:szCs w:val="22"/>
        </w:rPr>
        <w:t xml:space="preserve"> </w:t>
      </w:r>
      <w:r>
        <w:rPr>
          <w:rFonts w:ascii="Arial" w:hAnsi="Arial" w:cs="Arial"/>
          <w:i/>
          <w:iCs/>
          <w:sz w:val="22"/>
          <w:szCs w:val="22"/>
        </w:rPr>
        <w:t>managerial or supervisory duties</w:t>
      </w:r>
      <w:r>
        <w:rPr>
          <w:rFonts w:ascii="Arial" w:hAnsi="Arial" w:cs="Arial"/>
          <w:sz w:val="22"/>
          <w:szCs w:val="22"/>
        </w:rPr>
        <w:t xml:space="preserve"> for the University.</w:t>
      </w:r>
    </w:p>
    <w:p w14:paraId="45A17866" w14:textId="77777777" w:rsidR="00B52CFD" w:rsidRDefault="00B52CFD" w:rsidP="00B52CFD">
      <w:pPr>
        <w:jc w:val="both"/>
        <w:rPr>
          <w:rFonts w:ascii="Arial" w:hAnsi="Arial" w:cs="Arial"/>
          <w:sz w:val="22"/>
          <w:szCs w:val="22"/>
        </w:rPr>
      </w:pPr>
    </w:p>
    <w:p w14:paraId="5E94CD1A" w14:textId="77777777" w:rsidR="00B52CFD" w:rsidRDefault="00B52CFD" w:rsidP="00B52CFD">
      <w:pPr>
        <w:jc w:val="both"/>
        <w:rPr>
          <w:rFonts w:ascii="Arial" w:hAnsi="Arial" w:cs="Arial"/>
          <w:sz w:val="22"/>
          <w:szCs w:val="22"/>
        </w:rPr>
      </w:pPr>
      <w:r>
        <w:rPr>
          <w:rFonts w:ascii="Arial" w:hAnsi="Arial" w:cs="Arial"/>
          <w:sz w:val="22"/>
          <w:szCs w:val="22"/>
        </w:rPr>
        <w:t>The insurers will pay for legal defence costs up to the point where a DI is either found guilty or advised to plead guilty to an offence plus any compensation awarded in a civil claim against the DI (</w:t>
      </w:r>
      <w:proofErr w:type="gramStart"/>
      <w:r>
        <w:rPr>
          <w:rFonts w:ascii="Arial" w:hAnsi="Arial" w:cs="Arial"/>
          <w:sz w:val="22"/>
          <w:szCs w:val="22"/>
        </w:rPr>
        <w:t>e.g.</w:t>
      </w:r>
      <w:proofErr w:type="gramEnd"/>
      <w:r>
        <w:rPr>
          <w:rFonts w:ascii="Arial" w:hAnsi="Arial" w:cs="Arial"/>
          <w:sz w:val="22"/>
          <w:szCs w:val="22"/>
        </w:rPr>
        <w:t xml:space="preserve"> for distress or hurt feelings due to tissue being stored without permission).</w:t>
      </w:r>
    </w:p>
    <w:p w14:paraId="0D8D3571" w14:textId="77777777" w:rsidR="00B52CFD" w:rsidRDefault="00B52CFD" w:rsidP="00B52CFD">
      <w:pPr>
        <w:jc w:val="both"/>
        <w:rPr>
          <w:rFonts w:ascii="Arial" w:hAnsi="Arial" w:cs="Arial"/>
          <w:sz w:val="22"/>
          <w:szCs w:val="22"/>
        </w:rPr>
      </w:pPr>
    </w:p>
    <w:p w14:paraId="7D47DF1A" w14:textId="77777777" w:rsidR="00B52CFD" w:rsidRDefault="00B52CFD" w:rsidP="00B52CFD">
      <w:pPr>
        <w:jc w:val="both"/>
        <w:rPr>
          <w:rFonts w:ascii="Arial" w:hAnsi="Arial" w:cs="Arial"/>
          <w:bCs/>
          <w:i/>
          <w:sz w:val="22"/>
          <w:szCs w:val="22"/>
        </w:rPr>
      </w:pPr>
      <w:r>
        <w:rPr>
          <w:rFonts w:ascii="Arial" w:hAnsi="Arial" w:cs="Arial"/>
          <w:bCs/>
          <w:i/>
          <w:sz w:val="22"/>
          <w:szCs w:val="22"/>
        </w:rPr>
        <w:t>4. What is not insured?</w:t>
      </w:r>
    </w:p>
    <w:p w14:paraId="4946EB58" w14:textId="77777777" w:rsidR="00B52CFD" w:rsidRDefault="00B52CFD" w:rsidP="00B52CFD">
      <w:pPr>
        <w:jc w:val="both"/>
        <w:rPr>
          <w:rFonts w:ascii="Arial" w:hAnsi="Arial" w:cs="Arial"/>
          <w:sz w:val="22"/>
          <w:szCs w:val="22"/>
        </w:rPr>
      </w:pPr>
    </w:p>
    <w:p w14:paraId="40BF7565" w14:textId="5E93BE34" w:rsidR="00B52CFD" w:rsidRDefault="00B52CFD" w:rsidP="00B52CFD">
      <w:pPr>
        <w:jc w:val="both"/>
        <w:rPr>
          <w:rFonts w:ascii="Arial" w:hAnsi="Arial" w:cs="Arial"/>
          <w:sz w:val="22"/>
          <w:szCs w:val="22"/>
        </w:rPr>
      </w:pPr>
      <w:r>
        <w:rPr>
          <w:rFonts w:ascii="Arial" w:hAnsi="Arial" w:cs="Arial"/>
          <w:sz w:val="22"/>
          <w:szCs w:val="22"/>
        </w:rPr>
        <w:lastRenderedPageBreak/>
        <w:t xml:space="preserve">The University is not permitted to insure against fines or penalties incurred by DIs </w:t>
      </w:r>
      <w:proofErr w:type="gramStart"/>
      <w:r>
        <w:rPr>
          <w:rFonts w:ascii="Arial" w:hAnsi="Arial" w:cs="Arial"/>
          <w:sz w:val="22"/>
          <w:szCs w:val="22"/>
        </w:rPr>
        <w:t>as a result of</w:t>
      </w:r>
      <w:proofErr w:type="gramEnd"/>
      <w:r>
        <w:rPr>
          <w:rFonts w:ascii="Arial" w:hAnsi="Arial" w:cs="Arial"/>
          <w:sz w:val="22"/>
          <w:szCs w:val="22"/>
        </w:rPr>
        <w:t xml:space="preserve"> criminal prosecution. </w:t>
      </w:r>
    </w:p>
    <w:p w14:paraId="64F4A722" w14:textId="18BC9FD1" w:rsidR="00FB50F7" w:rsidRDefault="00FB50F7" w:rsidP="00B52CFD">
      <w:pPr>
        <w:jc w:val="both"/>
        <w:rPr>
          <w:rFonts w:ascii="Arial" w:hAnsi="Arial" w:cs="Arial"/>
          <w:sz w:val="22"/>
          <w:szCs w:val="22"/>
        </w:rPr>
      </w:pPr>
    </w:p>
    <w:p w14:paraId="174BCDF3" w14:textId="6F0B0F42" w:rsidR="00FB50F7" w:rsidRDefault="00FB50F7" w:rsidP="00B52CFD">
      <w:pPr>
        <w:jc w:val="both"/>
        <w:rPr>
          <w:rFonts w:ascii="Arial" w:hAnsi="Arial" w:cs="Arial"/>
          <w:sz w:val="22"/>
          <w:szCs w:val="22"/>
        </w:rPr>
      </w:pPr>
      <w:r>
        <w:rPr>
          <w:rFonts w:ascii="Arial" w:hAnsi="Arial" w:cs="Arial"/>
          <w:sz w:val="22"/>
          <w:szCs w:val="22"/>
        </w:rPr>
        <w:t xml:space="preserve">The University is not able to </w:t>
      </w:r>
      <w:r w:rsidR="0099060C">
        <w:rPr>
          <w:rFonts w:ascii="Arial" w:hAnsi="Arial" w:cs="Arial"/>
          <w:sz w:val="22"/>
          <w:szCs w:val="22"/>
        </w:rPr>
        <w:t>provide insurance for</w:t>
      </w:r>
      <w:r>
        <w:rPr>
          <w:rFonts w:ascii="Arial" w:hAnsi="Arial" w:cs="Arial"/>
          <w:sz w:val="22"/>
          <w:szCs w:val="22"/>
        </w:rPr>
        <w:t xml:space="preserve"> the physical holdings </w:t>
      </w:r>
      <w:r w:rsidR="00823869">
        <w:rPr>
          <w:rFonts w:ascii="Arial" w:hAnsi="Arial" w:cs="Arial"/>
          <w:sz w:val="22"/>
          <w:szCs w:val="22"/>
        </w:rPr>
        <w:t>on licence,</w:t>
      </w:r>
      <w:r>
        <w:rPr>
          <w:rFonts w:ascii="Arial" w:hAnsi="Arial" w:cs="Arial"/>
          <w:sz w:val="22"/>
          <w:szCs w:val="22"/>
        </w:rPr>
        <w:t xml:space="preserve"> overseen by the DI.</w:t>
      </w:r>
    </w:p>
    <w:p w14:paraId="0C078926" w14:textId="77777777" w:rsidR="00B52CFD" w:rsidRDefault="00B52CFD" w:rsidP="00B52CFD">
      <w:pPr>
        <w:jc w:val="both"/>
        <w:rPr>
          <w:rFonts w:ascii="Arial" w:hAnsi="Arial" w:cs="Arial"/>
          <w:sz w:val="22"/>
          <w:szCs w:val="22"/>
        </w:rPr>
      </w:pPr>
    </w:p>
    <w:p w14:paraId="18252809" w14:textId="77777777" w:rsidR="00B52CFD" w:rsidRDefault="00B52CFD" w:rsidP="00B52CFD">
      <w:pPr>
        <w:jc w:val="both"/>
        <w:rPr>
          <w:rFonts w:ascii="Arial" w:hAnsi="Arial" w:cs="Arial"/>
          <w:bCs/>
          <w:i/>
          <w:sz w:val="22"/>
          <w:szCs w:val="22"/>
        </w:rPr>
      </w:pPr>
      <w:r>
        <w:rPr>
          <w:rFonts w:ascii="Arial" w:hAnsi="Arial" w:cs="Arial"/>
          <w:bCs/>
          <w:i/>
          <w:sz w:val="22"/>
          <w:szCs w:val="22"/>
        </w:rPr>
        <w:t>5. What do DIs need to do in cases of alleged offence under the HT Act?</w:t>
      </w:r>
    </w:p>
    <w:p w14:paraId="647DA1B5" w14:textId="77777777" w:rsidR="00B52CFD" w:rsidRDefault="00B52CFD" w:rsidP="00B52CFD">
      <w:pPr>
        <w:jc w:val="both"/>
        <w:rPr>
          <w:rFonts w:ascii="Arial" w:hAnsi="Arial" w:cs="Arial"/>
          <w:b/>
          <w:bCs/>
          <w:sz w:val="22"/>
          <w:szCs w:val="22"/>
          <w:u w:val="single"/>
        </w:rPr>
      </w:pPr>
    </w:p>
    <w:p w14:paraId="42B17EAF" w14:textId="7EF31CF9" w:rsidR="00B52CFD" w:rsidRDefault="00B52CFD" w:rsidP="00B52CFD">
      <w:pPr>
        <w:jc w:val="both"/>
        <w:rPr>
          <w:rFonts w:ascii="Arial" w:hAnsi="Arial" w:cs="Arial"/>
          <w:bCs/>
          <w:sz w:val="22"/>
          <w:szCs w:val="22"/>
        </w:rPr>
      </w:pPr>
      <w:r>
        <w:rPr>
          <w:rFonts w:ascii="Arial" w:hAnsi="Arial" w:cs="Arial"/>
          <w:sz w:val="22"/>
          <w:szCs w:val="22"/>
        </w:rPr>
        <w:t>If you think that you may be held responsible for an alleged offence under the HT Act or the Regulations, you must contact the</w:t>
      </w:r>
      <w:r w:rsidR="00283290">
        <w:rPr>
          <w:rFonts w:ascii="Arial" w:hAnsi="Arial" w:cs="Arial"/>
          <w:sz w:val="22"/>
          <w:szCs w:val="22"/>
        </w:rPr>
        <w:t xml:space="preserve"> LH representative and</w:t>
      </w:r>
      <w:r>
        <w:rPr>
          <w:rFonts w:ascii="Arial" w:hAnsi="Arial" w:cs="Arial"/>
          <w:sz w:val="22"/>
          <w:szCs w:val="22"/>
        </w:rPr>
        <w:t xml:space="preserve"> University’s Insurance </w:t>
      </w:r>
      <w:r w:rsidR="00923387">
        <w:rPr>
          <w:rFonts w:ascii="Arial" w:hAnsi="Arial" w:cs="Arial"/>
          <w:sz w:val="22"/>
          <w:szCs w:val="22"/>
        </w:rPr>
        <w:t xml:space="preserve">Manager </w:t>
      </w:r>
      <w:r>
        <w:rPr>
          <w:rFonts w:ascii="Arial" w:hAnsi="Arial" w:cs="Arial"/>
          <w:sz w:val="22"/>
          <w:szCs w:val="22"/>
        </w:rPr>
        <w:t xml:space="preserve">immediately in order that your claim is notified to the insurers within the </w:t>
      </w:r>
      <w:r>
        <w:rPr>
          <w:rFonts w:ascii="Arial" w:hAnsi="Arial" w:cs="Arial"/>
          <w:bCs/>
          <w:sz w:val="22"/>
          <w:szCs w:val="22"/>
        </w:rPr>
        <w:t>strict timescales that apply.</w:t>
      </w:r>
    </w:p>
    <w:p w14:paraId="30D58E69" w14:textId="77777777" w:rsidR="00B52CFD" w:rsidRDefault="00B52CFD" w:rsidP="00B52CFD">
      <w:pPr>
        <w:jc w:val="both"/>
        <w:rPr>
          <w:rFonts w:ascii="Arial" w:hAnsi="Arial" w:cs="Arial"/>
          <w:sz w:val="22"/>
          <w:szCs w:val="22"/>
        </w:rPr>
      </w:pPr>
    </w:p>
    <w:p w14:paraId="0BC52279" w14:textId="77777777" w:rsidR="00B52CFD" w:rsidRPr="009B76C8" w:rsidRDefault="009B76C8" w:rsidP="00082603">
      <w:pPr>
        <w:pStyle w:val="BodyText"/>
        <w:numPr>
          <w:ilvl w:val="0"/>
          <w:numId w:val="29"/>
        </w:numPr>
        <w:jc w:val="both"/>
        <w:rPr>
          <w:b/>
          <w:bCs/>
          <w:sz w:val="24"/>
        </w:rPr>
      </w:pPr>
      <w:r>
        <w:rPr>
          <w:b/>
          <w:bCs/>
          <w:sz w:val="24"/>
        </w:rPr>
        <w:t>Standards</w:t>
      </w:r>
      <w:r w:rsidR="00B52CFD" w:rsidRPr="009B76C8">
        <w:rPr>
          <w:b/>
          <w:bCs/>
          <w:sz w:val="24"/>
        </w:rPr>
        <w:t xml:space="preserve"> of compliance required by HTA</w:t>
      </w:r>
    </w:p>
    <w:p w14:paraId="24C824A5" w14:textId="77777777" w:rsidR="00B52CFD" w:rsidRDefault="00B52CFD" w:rsidP="00B52CFD">
      <w:pPr>
        <w:rPr>
          <w:rFonts w:ascii="Arial" w:hAnsi="Arial" w:cs="Arial"/>
          <w:sz w:val="22"/>
          <w:szCs w:val="22"/>
        </w:rPr>
      </w:pPr>
    </w:p>
    <w:p w14:paraId="2D32999F" w14:textId="40238D83" w:rsidR="00B52CFD" w:rsidRDefault="00B52CFD" w:rsidP="00B52CFD">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Application for a </w:t>
      </w:r>
      <w:r w:rsidR="00150FB1">
        <w:rPr>
          <w:rFonts w:ascii="Arial" w:hAnsi="Arial" w:cs="Arial"/>
          <w:sz w:val="22"/>
          <w:szCs w:val="22"/>
          <w:lang w:eastAsia="en-GB"/>
        </w:rPr>
        <w:t>L</w:t>
      </w:r>
      <w:r>
        <w:rPr>
          <w:rFonts w:ascii="Arial" w:hAnsi="Arial" w:cs="Arial"/>
          <w:sz w:val="22"/>
          <w:szCs w:val="22"/>
          <w:lang w:eastAsia="en-GB"/>
        </w:rPr>
        <w:t>icence takes the form of a compliance report, which is completed on the HTA website. There is a version relevant to each sector but they all contain four common categories of standards that the HTA require applicants to assess and evaluate their performance against</w:t>
      </w:r>
      <w:r w:rsidR="00306E20">
        <w:rPr>
          <w:rFonts w:ascii="Arial" w:hAnsi="Arial" w:cs="Arial"/>
          <w:sz w:val="22"/>
          <w:szCs w:val="22"/>
          <w:lang w:eastAsia="en-GB"/>
        </w:rPr>
        <w:t xml:space="preserve">, as detailed in the </w:t>
      </w:r>
      <w:hyperlink r:id="rId24" w:history="1">
        <w:r w:rsidR="00306E20" w:rsidRPr="00306E20">
          <w:rPr>
            <w:rStyle w:val="Hyperlink"/>
            <w:rFonts w:ascii="Arial" w:hAnsi="Arial" w:cs="Arial"/>
            <w:sz w:val="22"/>
            <w:szCs w:val="22"/>
            <w:lang w:eastAsia="en-GB"/>
          </w:rPr>
          <w:t>relevant HT</w:t>
        </w:r>
        <w:r w:rsidR="00306E20" w:rsidRPr="00306E20">
          <w:rPr>
            <w:rStyle w:val="Hyperlink"/>
            <w:rFonts w:ascii="Arial" w:hAnsi="Arial" w:cs="Arial"/>
            <w:sz w:val="22"/>
            <w:szCs w:val="22"/>
            <w:lang w:eastAsia="en-GB"/>
          </w:rPr>
          <w:t>A</w:t>
        </w:r>
        <w:r w:rsidR="00306E20" w:rsidRPr="00306E20">
          <w:rPr>
            <w:rStyle w:val="Hyperlink"/>
            <w:rFonts w:ascii="Arial" w:hAnsi="Arial" w:cs="Arial"/>
            <w:sz w:val="22"/>
            <w:szCs w:val="22"/>
            <w:lang w:eastAsia="en-GB"/>
          </w:rPr>
          <w:t xml:space="preserve"> standards and guidance</w:t>
        </w:r>
      </w:hyperlink>
      <w:r>
        <w:rPr>
          <w:rFonts w:ascii="Arial" w:hAnsi="Arial" w:cs="Arial"/>
          <w:sz w:val="22"/>
          <w:szCs w:val="22"/>
          <w:lang w:eastAsia="en-GB"/>
        </w:rPr>
        <w:t>. Since 2011 the DI is required to submit a biennial statement of compliance to the HTA. The categories are:</w:t>
      </w:r>
    </w:p>
    <w:p w14:paraId="093C2DC6" w14:textId="77777777" w:rsidR="00B52CFD" w:rsidRDefault="00B52CFD" w:rsidP="00B52CFD">
      <w:pPr>
        <w:rPr>
          <w:rFonts w:ascii="Arial" w:hAnsi="Arial" w:cs="Arial"/>
          <w:b/>
        </w:rPr>
      </w:pPr>
    </w:p>
    <w:p w14:paraId="64B4C391" w14:textId="77777777" w:rsidR="00B52CFD" w:rsidRDefault="00B52CFD" w:rsidP="00082603">
      <w:pPr>
        <w:numPr>
          <w:ilvl w:val="0"/>
          <w:numId w:val="33"/>
        </w:numPr>
        <w:rPr>
          <w:rFonts w:ascii="Arial" w:hAnsi="Arial" w:cs="Arial"/>
          <w:b/>
        </w:rPr>
      </w:pPr>
      <w:r>
        <w:rPr>
          <w:rFonts w:ascii="Arial" w:hAnsi="Arial" w:cs="Arial"/>
          <w:b/>
        </w:rPr>
        <w:t>Consent</w:t>
      </w:r>
    </w:p>
    <w:p w14:paraId="05BF8C30" w14:textId="77777777" w:rsidR="00B52CFD" w:rsidRDefault="00B52CFD" w:rsidP="00B52CFD">
      <w:pPr>
        <w:jc w:val="both"/>
        <w:rPr>
          <w:rFonts w:ascii="Arial" w:hAnsi="Arial" w:cs="Arial"/>
          <w:sz w:val="22"/>
          <w:szCs w:val="22"/>
        </w:rPr>
      </w:pPr>
    </w:p>
    <w:p w14:paraId="0C3680F9" w14:textId="4FAB8BB8" w:rsidR="00DE04B7" w:rsidRDefault="00B52CFD" w:rsidP="005726D6">
      <w:pPr>
        <w:jc w:val="both"/>
        <w:rPr>
          <w:rFonts w:ascii="Arial" w:hAnsi="Arial" w:cs="Arial"/>
          <w:sz w:val="22"/>
          <w:szCs w:val="22"/>
        </w:rPr>
      </w:pPr>
      <w:r>
        <w:rPr>
          <w:rFonts w:ascii="Arial" w:hAnsi="Arial" w:cs="Arial"/>
          <w:sz w:val="22"/>
          <w:szCs w:val="22"/>
        </w:rPr>
        <w:t xml:space="preserve">One of the main principles established by the HT Act is the requirement for </w:t>
      </w:r>
      <w:r w:rsidR="0029663A">
        <w:rPr>
          <w:rFonts w:ascii="Arial" w:hAnsi="Arial" w:cs="Arial"/>
          <w:sz w:val="22"/>
          <w:szCs w:val="22"/>
        </w:rPr>
        <w:t xml:space="preserve">appropriate and valid </w:t>
      </w:r>
      <w:r>
        <w:rPr>
          <w:rFonts w:ascii="Arial" w:hAnsi="Arial" w:cs="Arial"/>
          <w:sz w:val="22"/>
          <w:szCs w:val="22"/>
        </w:rPr>
        <w:t>consent for Scheduled Purposes. You should refer to the consent requirements</w:t>
      </w:r>
      <w:r w:rsidR="00897AAC">
        <w:rPr>
          <w:rFonts w:ascii="Arial" w:hAnsi="Arial" w:cs="Arial"/>
          <w:sz w:val="22"/>
          <w:szCs w:val="22"/>
        </w:rPr>
        <w:t xml:space="preserve"> detailed in the </w:t>
      </w:r>
      <w:r>
        <w:rPr>
          <w:rFonts w:ascii="Arial" w:hAnsi="Arial" w:cs="Arial"/>
          <w:sz w:val="22"/>
          <w:szCs w:val="22"/>
        </w:rPr>
        <w:t>HTA Code of Practice</w:t>
      </w:r>
      <w:r w:rsidR="00897AAC">
        <w:rPr>
          <w:rFonts w:ascii="Arial" w:hAnsi="Arial" w:cs="Arial"/>
          <w:sz w:val="22"/>
          <w:szCs w:val="22"/>
        </w:rPr>
        <w:t xml:space="preserve"> A</w:t>
      </w:r>
      <w:r w:rsidR="00E301E8">
        <w:rPr>
          <w:rFonts w:ascii="Arial" w:hAnsi="Arial" w:cs="Arial"/>
          <w:sz w:val="22"/>
          <w:szCs w:val="22"/>
        </w:rPr>
        <w:t xml:space="preserve"> </w:t>
      </w:r>
      <w:r w:rsidR="00897AAC">
        <w:rPr>
          <w:rFonts w:ascii="Arial" w:hAnsi="Arial" w:cs="Arial"/>
          <w:sz w:val="22"/>
          <w:szCs w:val="22"/>
        </w:rPr>
        <w:t>(</w:t>
      </w:r>
      <w:r w:rsidR="00837041" w:rsidRPr="00837041">
        <w:rPr>
          <w:rFonts w:ascii="Arial" w:hAnsi="Arial" w:cs="Arial"/>
          <w:sz w:val="22"/>
          <w:szCs w:val="22"/>
        </w:rPr>
        <w:t>Guiding principles and the fundamental principle of consent</w:t>
      </w:r>
      <w:r w:rsidR="00897AAC">
        <w:rPr>
          <w:rFonts w:ascii="Arial" w:hAnsi="Arial" w:cs="Arial"/>
          <w:sz w:val="22"/>
          <w:szCs w:val="22"/>
        </w:rPr>
        <w:t xml:space="preserve">) </w:t>
      </w:r>
      <w:r>
        <w:rPr>
          <w:rFonts w:ascii="Arial" w:hAnsi="Arial" w:cs="Arial"/>
          <w:sz w:val="22"/>
          <w:szCs w:val="22"/>
        </w:rPr>
        <w:t xml:space="preserve">to determine if consent is required for the </w:t>
      </w:r>
      <w:r w:rsidR="00D84A00">
        <w:rPr>
          <w:rFonts w:ascii="Arial" w:hAnsi="Arial" w:cs="Arial"/>
          <w:sz w:val="22"/>
          <w:szCs w:val="22"/>
        </w:rPr>
        <w:t xml:space="preserve">collection, </w:t>
      </w:r>
      <w:proofErr w:type="gramStart"/>
      <w:r>
        <w:rPr>
          <w:rFonts w:ascii="Arial" w:hAnsi="Arial" w:cs="Arial"/>
          <w:sz w:val="22"/>
          <w:szCs w:val="22"/>
        </w:rPr>
        <w:t>storage</w:t>
      </w:r>
      <w:proofErr w:type="gramEnd"/>
      <w:r>
        <w:rPr>
          <w:rFonts w:ascii="Arial" w:hAnsi="Arial" w:cs="Arial"/>
          <w:sz w:val="22"/>
          <w:szCs w:val="22"/>
        </w:rPr>
        <w:t xml:space="preserve"> and use of Relevant Material. </w:t>
      </w:r>
    </w:p>
    <w:p w14:paraId="3B40A332" w14:textId="77777777" w:rsidR="00DE04B7" w:rsidRDefault="00DE04B7" w:rsidP="005726D6">
      <w:pPr>
        <w:jc w:val="both"/>
        <w:rPr>
          <w:rFonts w:ascii="Arial" w:hAnsi="Arial" w:cs="Arial"/>
          <w:sz w:val="22"/>
          <w:szCs w:val="22"/>
        </w:rPr>
      </w:pPr>
    </w:p>
    <w:p w14:paraId="158B67C3" w14:textId="6B4FE877" w:rsidR="00B52CFD" w:rsidRDefault="00DE04B7" w:rsidP="00EC296E">
      <w:pPr>
        <w:jc w:val="both"/>
        <w:rPr>
          <w:rFonts w:ascii="Arial" w:hAnsi="Arial" w:cs="Arial"/>
          <w:sz w:val="22"/>
          <w:szCs w:val="22"/>
        </w:rPr>
      </w:pPr>
      <w:r>
        <w:rPr>
          <w:rFonts w:ascii="Arial" w:hAnsi="Arial" w:cs="Arial"/>
          <w:sz w:val="22"/>
          <w:szCs w:val="22"/>
        </w:rPr>
        <w:t>The consent s</w:t>
      </w:r>
      <w:r w:rsidRPr="00DE04B7">
        <w:rPr>
          <w:rFonts w:ascii="Arial" w:hAnsi="Arial" w:cs="Arial"/>
          <w:sz w:val="22"/>
          <w:szCs w:val="22"/>
        </w:rPr>
        <w:t>tandards</w:t>
      </w:r>
      <w:r w:rsidR="00526861">
        <w:rPr>
          <w:rFonts w:ascii="Arial" w:hAnsi="Arial" w:cs="Arial"/>
          <w:sz w:val="22"/>
          <w:szCs w:val="22"/>
        </w:rPr>
        <w:t xml:space="preserve"> require</w:t>
      </w:r>
      <w:r>
        <w:rPr>
          <w:rFonts w:ascii="Arial" w:hAnsi="Arial" w:cs="Arial"/>
          <w:sz w:val="22"/>
          <w:szCs w:val="22"/>
        </w:rPr>
        <w:t xml:space="preserve"> users of Relevant Material to be</w:t>
      </w:r>
      <w:r w:rsidRPr="00DE04B7">
        <w:rPr>
          <w:rFonts w:ascii="Arial" w:hAnsi="Arial" w:cs="Arial"/>
          <w:sz w:val="22"/>
          <w:szCs w:val="22"/>
        </w:rPr>
        <w:t xml:space="preserve"> able to demonstrate</w:t>
      </w:r>
      <w:r w:rsidR="00D261E4">
        <w:rPr>
          <w:rFonts w:ascii="Arial" w:hAnsi="Arial" w:cs="Arial"/>
          <w:sz w:val="22"/>
          <w:szCs w:val="22"/>
        </w:rPr>
        <w:t xml:space="preserve"> </w:t>
      </w:r>
      <w:r w:rsidRPr="00DE04B7">
        <w:rPr>
          <w:rFonts w:ascii="Arial" w:hAnsi="Arial" w:cs="Arial"/>
          <w:sz w:val="22"/>
          <w:szCs w:val="22"/>
        </w:rPr>
        <w:t>that their processes for seeking and gaining consent comply with the HT Act and</w:t>
      </w:r>
      <w:r w:rsidR="00EC296E">
        <w:rPr>
          <w:rFonts w:ascii="Arial" w:hAnsi="Arial" w:cs="Arial"/>
          <w:sz w:val="22"/>
          <w:szCs w:val="22"/>
        </w:rPr>
        <w:t xml:space="preserve"> </w:t>
      </w:r>
      <w:r w:rsidRPr="00DE04B7">
        <w:rPr>
          <w:rFonts w:ascii="Arial" w:hAnsi="Arial" w:cs="Arial"/>
          <w:sz w:val="22"/>
          <w:szCs w:val="22"/>
        </w:rPr>
        <w:t>the HTA’s Codes of Practice. The standards also cover the documentation and</w:t>
      </w:r>
      <w:r w:rsidR="00EC296E">
        <w:rPr>
          <w:rFonts w:ascii="Arial" w:hAnsi="Arial" w:cs="Arial"/>
          <w:sz w:val="22"/>
          <w:szCs w:val="22"/>
        </w:rPr>
        <w:t xml:space="preserve"> </w:t>
      </w:r>
      <w:r w:rsidRPr="00DE04B7">
        <w:rPr>
          <w:rFonts w:ascii="Arial" w:hAnsi="Arial" w:cs="Arial"/>
          <w:sz w:val="22"/>
          <w:szCs w:val="22"/>
        </w:rPr>
        <w:t xml:space="preserve">information used to support the establishment’s consent </w:t>
      </w:r>
      <w:proofErr w:type="gramStart"/>
      <w:r w:rsidRPr="00DE04B7">
        <w:rPr>
          <w:rFonts w:ascii="Arial" w:hAnsi="Arial" w:cs="Arial"/>
          <w:sz w:val="22"/>
          <w:szCs w:val="22"/>
        </w:rPr>
        <w:t>procedures, and</w:t>
      </w:r>
      <w:proofErr w:type="gramEnd"/>
      <w:r w:rsidRPr="00DE04B7">
        <w:rPr>
          <w:rFonts w:ascii="Arial" w:hAnsi="Arial" w:cs="Arial"/>
          <w:sz w:val="22"/>
          <w:szCs w:val="22"/>
        </w:rPr>
        <w:t xml:space="preserve"> ensure</w:t>
      </w:r>
      <w:r w:rsidR="00EC296E">
        <w:rPr>
          <w:rFonts w:ascii="Arial" w:hAnsi="Arial" w:cs="Arial"/>
          <w:sz w:val="22"/>
          <w:szCs w:val="22"/>
        </w:rPr>
        <w:t xml:space="preserve"> </w:t>
      </w:r>
      <w:r w:rsidRPr="00DE04B7">
        <w:rPr>
          <w:rFonts w:ascii="Arial" w:hAnsi="Arial" w:cs="Arial"/>
          <w:sz w:val="22"/>
          <w:szCs w:val="22"/>
        </w:rPr>
        <w:t>that staff involved in seeking consent are suitably trained and equipped for the</w:t>
      </w:r>
      <w:r w:rsidR="00EC296E">
        <w:rPr>
          <w:rFonts w:ascii="Arial" w:hAnsi="Arial" w:cs="Arial"/>
          <w:sz w:val="22"/>
          <w:szCs w:val="22"/>
        </w:rPr>
        <w:t xml:space="preserve"> </w:t>
      </w:r>
      <w:r w:rsidRPr="00DE04B7">
        <w:rPr>
          <w:rFonts w:ascii="Arial" w:hAnsi="Arial" w:cs="Arial"/>
          <w:sz w:val="22"/>
          <w:szCs w:val="22"/>
        </w:rPr>
        <w:t>task</w:t>
      </w:r>
      <w:r w:rsidR="00D261E4">
        <w:rPr>
          <w:rFonts w:ascii="Arial" w:hAnsi="Arial" w:cs="Arial"/>
          <w:sz w:val="22"/>
          <w:szCs w:val="22"/>
        </w:rPr>
        <w:t>.</w:t>
      </w:r>
    </w:p>
    <w:p w14:paraId="512F065D" w14:textId="77777777" w:rsidR="00B52CFD" w:rsidRDefault="00B52CFD" w:rsidP="00B52CFD">
      <w:pPr>
        <w:jc w:val="both"/>
        <w:rPr>
          <w:rFonts w:ascii="Arial" w:hAnsi="Arial" w:cs="Arial"/>
          <w:sz w:val="22"/>
          <w:szCs w:val="22"/>
        </w:rPr>
      </w:pPr>
    </w:p>
    <w:p w14:paraId="1AA97546" w14:textId="0E0DCE4A" w:rsidR="00A45862" w:rsidRDefault="00B52CFD" w:rsidP="00B52CFD">
      <w:pPr>
        <w:jc w:val="both"/>
        <w:rPr>
          <w:rFonts w:ascii="Arial" w:hAnsi="Arial" w:cs="Arial"/>
          <w:sz w:val="22"/>
          <w:szCs w:val="22"/>
        </w:rPr>
      </w:pPr>
      <w:r>
        <w:rPr>
          <w:rFonts w:ascii="Arial" w:hAnsi="Arial" w:cs="Arial"/>
          <w:sz w:val="22"/>
          <w:szCs w:val="22"/>
        </w:rPr>
        <w:t>Qualifying consent is required to analyse DNA</w:t>
      </w:r>
      <w:r w:rsidR="0029663A">
        <w:rPr>
          <w:rFonts w:ascii="Arial" w:hAnsi="Arial" w:cs="Arial"/>
          <w:sz w:val="22"/>
          <w:szCs w:val="22"/>
        </w:rPr>
        <w:t xml:space="preserve"> derived from </w:t>
      </w:r>
      <w:r w:rsidR="00112A24">
        <w:rPr>
          <w:rFonts w:ascii="Arial" w:hAnsi="Arial" w:cs="Arial"/>
          <w:sz w:val="22"/>
          <w:szCs w:val="22"/>
        </w:rPr>
        <w:t>B</w:t>
      </w:r>
      <w:r w:rsidR="0029663A">
        <w:rPr>
          <w:rFonts w:ascii="Arial" w:hAnsi="Arial" w:cs="Arial"/>
          <w:sz w:val="22"/>
          <w:szCs w:val="22"/>
        </w:rPr>
        <w:t xml:space="preserve">odily </w:t>
      </w:r>
      <w:r w:rsidR="00112A24">
        <w:rPr>
          <w:rFonts w:ascii="Arial" w:hAnsi="Arial" w:cs="Arial"/>
          <w:sz w:val="22"/>
          <w:szCs w:val="22"/>
        </w:rPr>
        <w:t>M</w:t>
      </w:r>
      <w:r w:rsidR="0029663A">
        <w:rPr>
          <w:rFonts w:ascii="Arial" w:hAnsi="Arial" w:cs="Arial"/>
          <w:sz w:val="22"/>
          <w:szCs w:val="22"/>
        </w:rPr>
        <w:t>aterial and to use the results</w:t>
      </w:r>
      <w:r>
        <w:rPr>
          <w:rFonts w:ascii="Arial" w:hAnsi="Arial" w:cs="Arial"/>
          <w:sz w:val="22"/>
          <w:szCs w:val="22"/>
        </w:rPr>
        <w:t>.</w:t>
      </w:r>
      <w:r w:rsidR="0029663A">
        <w:rPr>
          <w:rFonts w:ascii="Arial" w:hAnsi="Arial" w:cs="Arial"/>
          <w:sz w:val="22"/>
          <w:szCs w:val="22"/>
        </w:rPr>
        <w:t xml:space="preserve"> Bodily</w:t>
      </w:r>
      <w:r w:rsidR="00E62E78">
        <w:rPr>
          <w:rFonts w:ascii="Arial" w:hAnsi="Arial" w:cs="Arial"/>
          <w:sz w:val="22"/>
          <w:szCs w:val="22"/>
        </w:rPr>
        <w:t xml:space="preserve"> </w:t>
      </w:r>
      <w:r w:rsidR="00112A24">
        <w:rPr>
          <w:rFonts w:ascii="Arial" w:hAnsi="Arial" w:cs="Arial"/>
          <w:sz w:val="22"/>
          <w:szCs w:val="22"/>
        </w:rPr>
        <w:t>M</w:t>
      </w:r>
      <w:r w:rsidR="0029663A">
        <w:rPr>
          <w:rFonts w:ascii="Arial" w:hAnsi="Arial" w:cs="Arial"/>
          <w:sz w:val="22"/>
          <w:szCs w:val="22"/>
        </w:rPr>
        <w:t>aterial differs from Relevant Material as it includes hair and nails from the living and gametes.</w:t>
      </w:r>
      <w:r>
        <w:rPr>
          <w:rFonts w:ascii="Arial" w:hAnsi="Arial" w:cs="Arial"/>
          <w:sz w:val="22"/>
          <w:szCs w:val="22"/>
        </w:rPr>
        <w:t xml:space="preserve"> </w:t>
      </w:r>
      <w:r w:rsidR="00FF1E33">
        <w:rPr>
          <w:rFonts w:ascii="Arial" w:hAnsi="Arial" w:cs="Arial"/>
          <w:sz w:val="22"/>
          <w:szCs w:val="22"/>
        </w:rPr>
        <w:t xml:space="preserve">It also refers to </w:t>
      </w:r>
      <w:r w:rsidR="00FF1E33" w:rsidRPr="00FF1E33">
        <w:rPr>
          <w:rFonts w:ascii="Arial" w:hAnsi="Arial" w:cs="Arial"/>
          <w:sz w:val="22"/>
          <w:szCs w:val="22"/>
        </w:rPr>
        <w:t xml:space="preserve">processed material such as plasma, serum and saliva </w:t>
      </w:r>
      <w:r w:rsidR="00FF1E33">
        <w:rPr>
          <w:rFonts w:ascii="Arial" w:hAnsi="Arial" w:cs="Arial"/>
          <w:sz w:val="22"/>
          <w:szCs w:val="22"/>
        </w:rPr>
        <w:t xml:space="preserve">obtained </w:t>
      </w:r>
      <w:proofErr w:type="gramStart"/>
      <w:r w:rsidR="00FF1E33">
        <w:rPr>
          <w:rFonts w:ascii="Arial" w:hAnsi="Arial" w:cs="Arial"/>
          <w:sz w:val="22"/>
          <w:szCs w:val="22"/>
        </w:rPr>
        <w:t>by the use of</w:t>
      </w:r>
      <w:proofErr w:type="gramEnd"/>
      <w:r w:rsidR="00FF1E33">
        <w:rPr>
          <w:rFonts w:ascii="Arial" w:hAnsi="Arial" w:cs="Arial"/>
          <w:sz w:val="22"/>
          <w:szCs w:val="22"/>
        </w:rPr>
        <w:t xml:space="preserve"> </w:t>
      </w:r>
      <w:r w:rsidR="00FF1E33" w:rsidRPr="00FF1E33">
        <w:rPr>
          <w:rFonts w:ascii="Arial" w:hAnsi="Arial" w:cs="Arial"/>
          <w:sz w:val="22"/>
          <w:szCs w:val="22"/>
        </w:rPr>
        <w:t>collection kits which lyse cells prior to DNA extraction</w:t>
      </w:r>
      <w:r w:rsidR="00854E82">
        <w:rPr>
          <w:rFonts w:ascii="Arial" w:hAnsi="Arial" w:cs="Arial"/>
          <w:sz w:val="22"/>
          <w:szCs w:val="22"/>
        </w:rPr>
        <w:t>.</w:t>
      </w:r>
      <w:r w:rsidR="00FF1E33">
        <w:rPr>
          <w:rFonts w:ascii="Arial" w:hAnsi="Arial" w:cs="Arial"/>
          <w:sz w:val="22"/>
          <w:szCs w:val="22"/>
        </w:rPr>
        <w:t xml:space="preserve"> </w:t>
      </w:r>
      <w:r>
        <w:rPr>
          <w:rFonts w:ascii="Arial" w:hAnsi="Arial" w:cs="Arial"/>
          <w:sz w:val="22"/>
          <w:szCs w:val="22"/>
        </w:rPr>
        <w:t xml:space="preserve">This means that if </w:t>
      </w:r>
      <w:r w:rsidR="0029663A">
        <w:rPr>
          <w:rFonts w:ascii="Arial" w:hAnsi="Arial" w:cs="Arial"/>
          <w:sz w:val="22"/>
          <w:szCs w:val="22"/>
        </w:rPr>
        <w:t xml:space="preserve">appropriate </w:t>
      </w:r>
      <w:r>
        <w:rPr>
          <w:rFonts w:ascii="Arial" w:hAnsi="Arial" w:cs="Arial"/>
          <w:sz w:val="22"/>
          <w:szCs w:val="22"/>
        </w:rPr>
        <w:t xml:space="preserve">consent to use </w:t>
      </w:r>
      <w:r w:rsidR="00112A24">
        <w:rPr>
          <w:rFonts w:ascii="Arial" w:hAnsi="Arial" w:cs="Arial"/>
          <w:sz w:val="22"/>
          <w:szCs w:val="22"/>
        </w:rPr>
        <w:t>B</w:t>
      </w:r>
      <w:r w:rsidR="0029663A">
        <w:rPr>
          <w:rFonts w:ascii="Arial" w:hAnsi="Arial" w:cs="Arial"/>
          <w:sz w:val="22"/>
          <w:szCs w:val="22"/>
        </w:rPr>
        <w:t xml:space="preserve">odily </w:t>
      </w:r>
      <w:r w:rsidR="00112A24">
        <w:rPr>
          <w:rFonts w:ascii="Arial" w:hAnsi="Arial" w:cs="Arial"/>
          <w:sz w:val="22"/>
          <w:szCs w:val="22"/>
        </w:rPr>
        <w:t>M</w:t>
      </w:r>
      <w:r w:rsidR="0029663A">
        <w:rPr>
          <w:rFonts w:ascii="Arial" w:hAnsi="Arial" w:cs="Arial"/>
          <w:sz w:val="22"/>
          <w:szCs w:val="22"/>
        </w:rPr>
        <w:t>aterial</w:t>
      </w:r>
      <w:r>
        <w:rPr>
          <w:rFonts w:ascii="Arial" w:hAnsi="Arial" w:cs="Arial"/>
          <w:sz w:val="22"/>
          <w:szCs w:val="22"/>
        </w:rPr>
        <w:t xml:space="preserve"> has</w:t>
      </w:r>
      <w:r w:rsidR="0029663A">
        <w:rPr>
          <w:rFonts w:ascii="Arial" w:hAnsi="Arial" w:cs="Arial"/>
          <w:sz w:val="22"/>
          <w:szCs w:val="22"/>
        </w:rPr>
        <w:t xml:space="preserve"> previously</w:t>
      </w:r>
      <w:r>
        <w:rPr>
          <w:rFonts w:ascii="Arial" w:hAnsi="Arial" w:cs="Arial"/>
          <w:sz w:val="22"/>
          <w:szCs w:val="22"/>
        </w:rPr>
        <w:t xml:space="preserve"> been obtained under the HT Act for a </w:t>
      </w:r>
      <w:r w:rsidR="00112A24">
        <w:rPr>
          <w:rFonts w:ascii="Arial" w:hAnsi="Arial" w:cs="Arial"/>
          <w:sz w:val="22"/>
          <w:szCs w:val="22"/>
        </w:rPr>
        <w:t>Scheduled P</w:t>
      </w:r>
      <w:r>
        <w:rPr>
          <w:rFonts w:ascii="Arial" w:hAnsi="Arial" w:cs="Arial"/>
          <w:sz w:val="22"/>
          <w:szCs w:val="22"/>
        </w:rPr>
        <w:t>urpose, it is not necessary to obtain separate consent where that use also involves DNA analysis</w:t>
      </w:r>
      <w:r w:rsidR="0029663A">
        <w:rPr>
          <w:rFonts w:ascii="Arial" w:hAnsi="Arial" w:cs="Arial"/>
          <w:sz w:val="22"/>
          <w:szCs w:val="22"/>
        </w:rPr>
        <w:t xml:space="preserve"> </w:t>
      </w:r>
      <w:proofErr w:type="gramStart"/>
      <w:r w:rsidR="0029663A">
        <w:rPr>
          <w:rFonts w:ascii="Arial" w:hAnsi="Arial" w:cs="Arial"/>
          <w:sz w:val="22"/>
          <w:szCs w:val="22"/>
        </w:rPr>
        <w:t>as long as</w:t>
      </w:r>
      <w:proofErr w:type="gramEnd"/>
      <w:r w:rsidR="0029663A">
        <w:rPr>
          <w:rFonts w:ascii="Arial" w:hAnsi="Arial" w:cs="Arial"/>
          <w:sz w:val="22"/>
          <w:szCs w:val="22"/>
        </w:rPr>
        <w:t xml:space="preserve"> the consent does not rule-ou</w:t>
      </w:r>
      <w:r w:rsidR="00150FB1">
        <w:rPr>
          <w:rFonts w:ascii="Arial" w:hAnsi="Arial" w:cs="Arial"/>
          <w:sz w:val="22"/>
          <w:szCs w:val="22"/>
        </w:rPr>
        <w:t>t</w:t>
      </w:r>
      <w:r w:rsidR="0029663A">
        <w:rPr>
          <w:rFonts w:ascii="Arial" w:hAnsi="Arial" w:cs="Arial"/>
          <w:sz w:val="22"/>
          <w:szCs w:val="22"/>
        </w:rPr>
        <w:t xml:space="preserve"> DNA analysis</w:t>
      </w:r>
      <w:r>
        <w:rPr>
          <w:rFonts w:ascii="Arial" w:hAnsi="Arial" w:cs="Arial"/>
          <w:sz w:val="22"/>
          <w:szCs w:val="22"/>
        </w:rPr>
        <w:t xml:space="preserve">. However, </w:t>
      </w:r>
      <w:r w:rsidR="0029663A">
        <w:rPr>
          <w:rFonts w:ascii="Arial" w:hAnsi="Arial" w:cs="Arial"/>
          <w:sz w:val="22"/>
          <w:szCs w:val="22"/>
        </w:rPr>
        <w:t xml:space="preserve">where samples are being prospectively collected for research involving DNA analysis </w:t>
      </w:r>
      <w:r>
        <w:rPr>
          <w:rFonts w:ascii="Arial" w:hAnsi="Arial" w:cs="Arial"/>
          <w:sz w:val="22"/>
          <w:szCs w:val="22"/>
        </w:rPr>
        <w:t xml:space="preserve">it should be made clear to the donor that their </w:t>
      </w:r>
      <w:r w:rsidR="00112A24">
        <w:rPr>
          <w:rFonts w:ascii="Arial" w:hAnsi="Arial" w:cs="Arial"/>
          <w:sz w:val="22"/>
          <w:szCs w:val="22"/>
        </w:rPr>
        <w:t xml:space="preserve">Bodily Material </w:t>
      </w:r>
      <w:r>
        <w:rPr>
          <w:rFonts w:ascii="Arial" w:hAnsi="Arial" w:cs="Arial"/>
          <w:sz w:val="22"/>
          <w:szCs w:val="22"/>
        </w:rPr>
        <w:t>may be used for this purpose, if that is the intention, by, for example, including a reference to the intended DNA analysis in the consent form and participant information sheets</w:t>
      </w:r>
      <w:r w:rsidR="00A45862">
        <w:rPr>
          <w:rFonts w:ascii="Arial" w:hAnsi="Arial" w:cs="Arial"/>
          <w:sz w:val="22"/>
          <w:szCs w:val="22"/>
        </w:rPr>
        <w:t xml:space="preserve">. </w:t>
      </w:r>
    </w:p>
    <w:p w14:paraId="6098FE0F" w14:textId="5D6087FB" w:rsidR="00B52CFD" w:rsidRDefault="00B52CFD" w:rsidP="00B52CFD">
      <w:pPr>
        <w:jc w:val="both"/>
        <w:rPr>
          <w:rFonts w:ascii="Arial" w:hAnsi="Arial" w:cs="Arial"/>
          <w:sz w:val="22"/>
          <w:szCs w:val="22"/>
        </w:rPr>
      </w:pPr>
    </w:p>
    <w:p w14:paraId="6857650E" w14:textId="031BF713" w:rsidR="00B52CFD" w:rsidRDefault="00B52CFD" w:rsidP="00B52CFD">
      <w:pPr>
        <w:jc w:val="both"/>
        <w:rPr>
          <w:rFonts w:ascii="Arial" w:hAnsi="Arial" w:cs="Arial"/>
          <w:bCs/>
          <w:sz w:val="22"/>
          <w:szCs w:val="22"/>
        </w:rPr>
      </w:pPr>
      <w:r>
        <w:rPr>
          <w:rFonts w:ascii="Arial" w:hAnsi="Arial" w:cs="Arial"/>
          <w:bCs/>
          <w:sz w:val="22"/>
          <w:szCs w:val="22"/>
        </w:rPr>
        <w:t xml:space="preserve">Records must be kept by individual DIs of all licensable </w:t>
      </w:r>
      <w:r>
        <w:rPr>
          <w:rFonts w:ascii="Arial" w:hAnsi="Arial" w:cs="Arial"/>
          <w:sz w:val="22"/>
          <w:szCs w:val="22"/>
        </w:rPr>
        <w:t xml:space="preserve">Relevant Material </w:t>
      </w:r>
      <w:r>
        <w:rPr>
          <w:rFonts w:ascii="Arial" w:hAnsi="Arial" w:cs="Arial"/>
          <w:bCs/>
          <w:sz w:val="22"/>
          <w:szCs w:val="22"/>
        </w:rPr>
        <w:t>obtained by staff and students including evidence of consent</w:t>
      </w:r>
      <w:r w:rsidR="008E4A8C">
        <w:rPr>
          <w:rFonts w:ascii="Arial" w:hAnsi="Arial" w:cs="Arial"/>
          <w:bCs/>
          <w:sz w:val="22"/>
          <w:szCs w:val="22"/>
        </w:rPr>
        <w:t xml:space="preserve"> (where</w:t>
      </w:r>
      <w:r w:rsidR="00A01420">
        <w:rPr>
          <w:rFonts w:ascii="Arial" w:hAnsi="Arial" w:cs="Arial"/>
          <w:bCs/>
          <w:sz w:val="22"/>
          <w:szCs w:val="22"/>
        </w:rPr>
        <w:t xml:space="preserve"> applicable</w:t>
      </w:r>
      <w:r w:rsidR="008E4A8C">
        <w:rPr>
          <w:rFonts w:ascii="Arial" w:hAnsi="Arial" w:cs="Arial"/>
          <w:bCs/>
          <w:sz w:val="22"/>
          <w:szCs w:val="22"/>
        </w:rPr>
        <w:t>)</w:t>
      </w:r>
      <w:r>
        <w:rPr>
          <w:rFonts w:ascii="Arial" w:hAnsi="Arial" w:cs="Arial"/>
          <w:bCs/>
          <w:sz w:val="22"/>
          <w:szCs w:val="22"/>
        </w:rPr>
        <w:t xml:space="preserve">. It is the responsibility of the researcher, </w:t>
      </w:r>
      <w:proofErr w:type="gramStart"/>
      <w:r>
        <w:rPr>
          <w:rFonts w:ascii="Arial" w:hAnsi="Arial" w:cs="Arial"/>
          <w:bCs/>
          <w:sz w:val="22"/>
          <w:szCs w:val="22"/>
        </w:rPr>
        <w:t>staff</w:t>
      </w:r>
      <w:proofErr w:type="gramEnd"/>
      <w:r>
        <w:rPr>
          <w:rFonts w:ascii="Arial" w:hAnsi="Arial" w:cs="Arial"/>
          <w:bCs/>
          <w:sz w:val="22"/>
          <w:szCs w:val="22"/>
        </w:rPr>
        <w:t xml:space="preserve"> or student to keep a record of the whereabouts of signed consent forms and to make them available to the DI if asked.</w:t>
      </w:r>
      <w:r w:rsidR="007333E2">
        <w:rPr>
          <w:rFonts w:ascii="Arial" w:hAnsi="Arial" w:cs="Arial"/>
          <w:bCs/>
          <w:sz w:val="22"/>
          <w:szCs w:val="22"/>
        </w:rPr>
        <w:t xml:space="preserve"> </w:t>
      </w:r>
      <w:r>
        <w:rPr>
          <w:rFonts w:ascii="Arial" w:hAnsi="Arial" w:cs="Arial"/>
          <w:bCs/>
          <w:sz w:val="22"/>
          <w:szCs w:val="22"/>
        </w:rPr>
        <w:t xml:space="preserve">Anyone </w:t>
      </w:r>
      <w:r>
        <w:rPr>
          <w:rFonts w:ascii="Arial" w:hAnsi="Arial" w:cs="Arial"/>
          <w:bCs/>
          <w:sz w:val="22"/>
          <w:szCs w:val="22"/>
        </w:rPr>
        <w:lastRenderedPageBreak/>
        <w:t>removing</w:t>
      </w:r>
      <w:r w:rsidR="00D84A00">
        <w:rPr>
          <w:rFonts w:ascii="Arial" w:hAnsi="Arial" w:cs="Arial"/>
          <w:bCs/>
          <w:sz w:val="22"/>
          <w:szCs w:val="22"/>
        </w:rPr>
        <w:t>,</w:t>
      </w:r>
      <w:r>
        <w:rPr>
          <w:rFonts w:ascii="Arial" w:hAnsi="Arial" w:cs="Arial"/>
          <w:bCs/>
          <w:sz w:val="22"/>
          <w:szCs w:val="22"/>
        </w:rPr>
        <w:t xml:space="preserve"> </w:t>
      </w:r>
      <w:proofErr w:type="gramStart"/>
      <w:r>
        <w:rPr>
          <w:rFonts w:ascii="Arial" w:hAnsi="Arial" w:cs="Arial"/>
          <w:bCs/>
          <w:sz w:val="22"/>
          <w:szCs w:val="22"/>
        </w:rPr>
        <w:t>storing</w:t>
      </w:r>
      <w:proofErr w:type="gramEnd"/>
      <w:r>
        <w:rPr>
          <w:rFonts w:ascii="Arial" w:hAnsi="Arial" w:cs="Arial"/>
          <w:bCs/>
          <w:sz w:val="22"/>
          <w:szCs w:val="22"/>
        </w:rPr>
        <w:t xml:space="preserve"> or using </w:t>
      </w:r>
      <w:r>
        <w:rPr>
          <w:rFonts w:ascii="Arial" w:hAnsi="Arial" w:cs="Arial"/>
          <w:sz w:val="22"/>
          <w:szCs w:val="22"/>
        </w:rPr>
        <w:t xml:space="preserve">Relevant Material </w:t>
      </w:r>
      <w:r>
        <w:rPr>
          <w:rFonts w:ascii="Arial" w:hAnsi="Arial" w:cs="Arial"/>
          <w:bCs/>
          <w:sz w:val="22"/>
          <w:szCs w:val="22"/>
        </w:rPr>
        <w:t>in circumstances for which the HT Act requires consent must be personally satisfied that relevant consent is in place.</w:t>
      </w:r>
    </w:p>
    <w:p w14:paraId="7BCCC198" w14:textId="77777777" w:rsidR="00B52CFD" w:rsidRDefault="00B52CFD" w:rsidP="00B52CFD">
      <w:pPr>
        <w:jc w:val="both"/>
        <w:rPr>
          <w:rFonts w:ascii="Arial" w:hAnsi="Arial" w:cs="Arial"/>
          <w:sz w:val="22"/>
          <w:szCs w:val="22"/>
        </w:rPr>
      </w:pPr>
    </w:p>
    <w:p w14:paraId="792BD98E" w14:textId="62E25696" w:rsidR="00B52CFD" w:rsidRPr="00163F93" w:rsidRDefault="00B52CFD" w:rsidP="00B52CFD">
      <w:pPr>
        <w:jc w:val="both"/>
        <w:rPr>
          <w:rFonts w:ascii="Arial" w:hAnsi="Arial" w:cs="Arial"/>
          <w:i/>
          <w:iCs/>
          <w:sz w:val="22"/>
          <w:szCs w:val="22"/>
        </w:rPr>
      </w:pPr>
      <w:r w:rsidRPr="00163F93">
        <w:rPr>
          <w:rFonts w:ascii="Arial" w:hAnsi="Arial" w:cs="Arial"/>
          <w:i/>
          <w:iCs/>
          <w:sz w:val="22"/>
          <w:szCs w:val="22"/>
        </w:rPr>
        <w:t xml:space="preserve">Consent </w:t>
      </w:r>
      <w:r w:rsidR="00AD098B">
        <w:rPr>
          <w:rFonts w:ascii="Arial" w:hAnsi="Arial" w:cs="Arial"/>
          <w:i/>
          <w:iCs/>
          <w:sz w:val="22"/>
          <w:szCs w:val="22"/>
        </w:rPr>
        <w:t>exceptions</w:t>
      </w:r>
    </w:p>
    <w:p w14:paraId="224607CF" w14:textId="2020ABA9" w:rsidR="00B52CFD" w:rsidRDefault="007708AE" w:rsidP="00B52CFD">
      <w:pPr>
        <w:jc w:val="both"/>
        <w:rPr>
          <w:rFonts w:ascii="Arial" w:hAnsi="Arial" w:cs="Arial"/>
          <w:sz w:val="22"/>
          <w:szCs w:val="22"/>
        </w:rPr>
      </w:pPr>
      <w:r>
        <w:rPr>
          <w:rFonts w:ascii="Arial" w:hAnsi="Arial" w:cs="Arial"/>
          <w:sz w:val="22"/>
          <w:szCs w:val="22"/>
        </w:rPr>
        <w:t xml:space="preserve">a. </w:t>
      </w:r>
      <w:r w:rsidR="00B52CFD">
        <w:rPr>
          <w:rFonts w:ascii="Arial" w:hAnsi="Arial" w:cs="Arial"/>
          <w:sz w:val="22"/>
          <w:szCs w:val="22"/>
        </w:rPr>
        <w:t>It is lawful for Relevant Material to be stored and used without consent for research purposes only if:</w:t>
      </w:r>
    </w:p>
    <w:p w14:paraId="4586F0E1" w14:textId="6CCE9FAF" w:rsidR="00B74C80" w:rsidRPr="007708AE" w:rsidRDefault="0075667B" w:rsidP="0075667B">
      <w:pPr>
        <w:numPr>
          <w:ilvl w:val="0"/>
          <w:numId w:val="6"/>
        </w:numPr>
        <w:jc w:val="both"/>
        <w:rPr>
          <w:rFonts w:ascii="Arial" w:hAnsi="Arial" w:cs="Arial"/>
          <w:sz w:val="22"/>
          <w:szCs w:val="22"/>
        </w:rPr>
      </w:pPr>
      <w:r w:rsidRPr="007708AE">
        <w:rPr>
          <w:rFonts w:ascii="Arial" w:hAnsi="Arial" w:cs="Arial"/>
          <w:sz w:val="22"/>
          <w:szCs w:val="22"/>
        </w:rPr>
        <w:t>t</w:t>
      </w:r>
      <w:r w:rsidR="00CC2062" w:rsidRPr="007708AE">
        <w:rPr>
          <w:rFonts w:ascii="Arial" w:hAnsi="Arial" w:cs="Arial"/>
          <w:sz w:val="22"/>
          <w:szCs w:val="22"/>
        </w:rPr>
        <w:t>he tissue is from a living person</w:t>
      </w:r>
      <w:r w:rsidRPr="007708AE">
        <w:rPr>
          <w:rFonts w:ascii="Arial" w:hAnsi="Arial" w:cs="Arial"/>
          <w:sz w:val="22"/>
          <w:szCs w:val="22"/>
        </w:rPr>
        <w:t>; and</w:t>
      </w:r>
    </w:p>
    <w:p w14:paraId="51D757F6" w14:textId="7346422E" w:rsidR="00B52CFD" w:rsidRPr="0075667B" w:rsidRDefault="00B52CFD" w:rsidP="0075667B">
      <w:pPr>
        <w:numPr>
          <w:ilvl w:val="0"/>
          <w:numId w:val="6"/>
        </w:numPr>
        <w:jc w:val="both"/>
        <w:rPr>
          <w:rFonts w:ascii="Arial" w:hAnsi="Arial" w:cs="Arial"/>
          <w:sz w:val="22"/>
          <w:szCs w:val="22"/>
        </w:rPr>
      </w:pPr>
      <w:r>
        <w:rPr>
          <w:rFonts w:ascii="Arial" w:hAnsi="Arial" w:cs="Arial"/>
          <w:sz w:val="22"/>
          <w:szCs w:val="22"/>
        </w:rPr>
        <w:t xml:space="preserve">the research has a </w:t>
      </w:r>
      <w:r>
        <w:rPr>
          <w:rFonts w:ascii="Arial" w:hAnsi="Arial" w:cs="Arial"/>
          <w:i/>
          <w:sz w:val="22"/>
          <w:szCs w:val="22"/>
        </w:rPr>
        <w:t>current</w:t>
      </w:r>
      <w:r>
        <w:rPr>
          <w:rFonts w:ascii="Arial" w:hAnsi="Arial" w:cs="Arial"/>
          <w:sz w:val="22"/>
          <w:szCs w:val="22"/>
        </w:rPr>
        <w:t xml:space="preserve"> favourable opinion from a recognised NHS Research Ethics Committee</w:t>
      </w:r>
      <w:r w:rsidR="00062358">
        <w:rPr>
          <w:rFonts w:ascii="Arial" w:hAnsi="Arial" w:cs="Arial"/>
          <w:sz w:val="22"/>
          <w:szCs w:val="22"/>
        </w:rPr>
        <w:t xml:space="preserve"> </w:t>
      </w:r>
      <w:r w:rsidR="00112A24">
        <w:rPr>
          <w:rFonts w:ascii="Arial" w:hAnsi="Arial" w:cs="Arial"/>
          <w:sz w:val="22"/>
          <w:szCs w:val="22"/>
        </w:rPr>
        <w:t>(NHS REC)</w:t>
      </w:r>
      <w:r>
        <w:rPr>
          <w:rFonts w:ascii="Arial" w:hAnsi="Arial" w:cs="Arial"/>
          <w:sz w:val="22"/>
          <w:szCs w:val="22"/>
        </w:rPr>
        <w:t xml:space="preserve">; </w:t>
      </w:r>
      <w:r w:rsidR="0075667B" w:rsidRPr="00952930">
        <w:rPr>
          <w:rFonts w:ascii="Arial" w:hAnsi="Arial" w:cs="Arial"/>
          <w:sz w:val="22"/>
          <w:szCs w:val="22"/>
        </w:rPr>
        <w:t>and</w:t>
      </w:r>
    </w:p>
    <w:p w14:paraId="4D564CD0" w14:textId="77777777" w:rsidR="00B52CFD" w:rsidRPr="00500151" w:rsidRDefault="00B52CFD" w:rsidP="00B52CFD">
      <w:pPr>
        <w:numPr>
          <w:ilvl w:val="0"/>
          <w:numId w:val="6"/>
        </w:numPr>
        <w:jc w:val="both"/>
        <w:rPr>
          <w:rFonts w:ascii="Arial" w:hAnsi="Arial" w:cs="Arial"/>
          <w:sz w:val="22"/>
          <w:szCs w:val="22"/>
        </w:rPr>
      </w:pPr>
      <w:r>
        <w:rPr>
          <w:rFonts w:ascii="Arial" w:hAnsi="Arial" w:cs="Arial"/>
          <w:sz w:val="22"/>
          <w:szCs w:val="22"/>
        </w:rPr>
        <w:t xml:space="preserve">the Relevant Material is </w:t>
      </w:r>
      <w:proofErr w:type="gramStart"/>
      <w:r>
        <w:rPr>
          <w:rFonts w:ascii="Arial" w:hAnsi="Arial" w:cs="Arial"/>
          <w:sz w:val="22"/>
          <w:szCs w:val="22"/>
        </w:rPr>
        <w:t>anonymised</w:t>
      </w:r>
      <w:proofErr w:type="gramEnd"/>
      <w:r>
        <w:rPr>
          <w:rFonts w:ascii="Arial" w:hAnsi="Arial" w:cs="Arial"/>
          <w:sz w:val="22"/>
          <w:szCs w:val="22"/>
        </w:rPr>
        <w:t xml:space="preserve"> and the researcher takes all necessary steps not to identify the person from whose body the Relevant Material has come.</w:t>
      </w:r>
    </w:p>
    <w:p w14:paraId="02CD963E" w14:textId="16320897" w:rsidR="00B52CFD" w:rsidRDefault="00B52CFD" w:rsidP="00B52CFD">
      <w:pPr>
        <w:jc w:val="both"/>
        <w:rPr>
          <w:rFonts w:ascii="Arial" w:hAnsi="Arial" w:cs="Arial"/>
          <w:sz w:val="22"/>
          <w:szCs w:val="22"/>
        </w:rPr>
      </w:pPr>
    </w:p>
    <w:p w14:paraId="18803764" w14:textId="645974A3" w:rsidR="007708AE" w:rsidRDefault="007708AE" w:rsidP="00BD70C2">
      <w:pPr>
        <w:jc w:val="both"/>
        <w:rPr>
          <w:rFonts w:ascii="Arial" w:hAnsi="Arial" w:cs="Arial"/>
          <w:sz w:val="22"/>
          <w:szCs w:val="22"/>
        </w:rPr>
      </w:pPr>
      <w:r>
        <w:rPr>
          <w:rFonts w:ascii="Arial" w:hAnsi="Arial" w:cs="Arial"/>
          <w:sz w:val="22"/>
          <w:szCs w:val="22"/>
        </w:rPr>
        <w:t xml:space="preserve">b. </w:t>
      </w:r>
      <w:r w:rsidR="00952930" w:rsidRPr="00952930">
        <w:rPr>
          <w:rFonts w:ascii="Arial" w:hAnsi="Arial" w:cs="Arial"/>
          <w:sz w:val="22"/>
          <w:szCs w:val="22"/>
        </w:rPr>
        <w:t>The consent requirements of the HT Act are not retrospective. This means that</w:t>
      </w:r>
      <w:r w:rsidR="00BD70C2">
        <w:rPr>
          <w:rFonts w:ascii="Arial" w:hAnsi="Arial" w:cs="Arial"/>
          <w:sz w:val="22"/>
          <w:szCs w:val="22"/>
        </w:rPr>
        <w:t xml:space="preserve"> </w:t>
      </w:r>
      <w:r w:rsidR="00952930" w:rsidRPr="00952930">
        <w:rPr>
          <w:rFonts w:ascii="Arial" w:hAnsi="Arial" w:cs="Arial"/>
          <w:sz w:val="22"/>
          <w:szCs w:val="22"/>
        </w:rPr>
        <w:t>legally it is not necessary to seek consent under the HT Act to store or use an</w:t>
      </w:r>
      <w:r w:rsidR="00BD70C2">
        <w:rPr>
          <w:rFonts w:ascii="Arial" w:hAnsi="Arial" w:cs="Arial"/>
          <w:sz w:val="22"/>
          <w:szCs w:val="22"/>
        </w:rPr>
        <w:t xml:space="preserve"> </w:t>
      </w:r>
      <w:r w:rsidR="00952930" w:rsidRPr="00952930">
        <w:rPr>
          <w:rFonts w:ascii="Arial" w:hAnsi="Arial" w:cs="Arial"/>
          <w:sz w:val="22"/>
          <w:szCs w:val="22"/>
        </w:rPr>
        <w:t>‘existing holding’</w:t>
      </w:r>
      <w:r w:rsidR="00952930">
        <w:rPr>
          <w:rFonts w:ascii="Arial" w:hAnsi="Arial" w:cs="Arial"/>
          <w:sz w:val="22"/>
          <w:szCs w:val="22"/>
        </w:rPr>
        <w:t xml:space="preserve"> for research</w:t>
      </w:r>
      <w:r w:rsidR="004E6DE7">
        <w:rPr>
          <w:rFonts w:ascii="Arial" w:hAnsi="Arial" w:cs="Arial"/>
          <w:sz w:val="22"/>
          <w:szCs w:val="22"/>
        </w:rPr>
        <w:t>, however</w:t>
      </w:r>
      <w:r w:rsidR="004E6DE7">
        <w:rPr>
          <w:rFonts w:ascii="Arial" w:hAnsi="Arial" w:cs="Arial"/>
          <w:sz w:val="22"/>
          <w:szCs w:val="22"/>
        </w:rPr>
        <w:t xml:space="preserve"> </w:t>
      </w:r>
      <w:r w:rsidR="004E6DE7">
        <w:rPr>
          <w:rFonts w:ascii="Arial" w:hAnsi="Arial" w:cs="Arial"/>
          <w:sz w:val="22"/>
          <w:szCs w:val="22"/>
        </w:rPr>
        <w:t>l</w:t>
      </w:r>
      <w:r w:rsidR="00952930">
        <w:rPr>
          <w:rFonts w:ascii="Arial" w:hAnsi="Arial" w:cs="Arial"/>
          <w:sz w:val="22"/>
          <w:szCs w:val="22"/>
        </w:rPr>
        <w:t xml:space="preserve">icensing requirements still apply. An ‘existing holding’ is </w:t>
      </w:r>
      <w:r w:rsidR="00462FDF">
        <w:rPr>
          <w:rFonts w:ascii="Arial" w:hAnsi="Arial" w:cs="Arial"/>
          <w:sz w:val="22"/>
          <w:szCs w:val="22"/>
        </w:rPr>
        <w:t xml:space="preserve">Relevant Material </w:t>
      </w:r>
      <w:r w:rsidR="00952930" w:rsidRPr="00952930">
        <w:rPr>
          <w:rFonts w:ascii="Arial" w:hAnsi="Arial" w:cs="Arial"/>
          <w:sz w:val="22"/>
          <w:szCs w:val="22"/>
        </w:rPr>
        <w:t>from</w:t>
      </w:r>
      <w:r w:rsidR="00952930">
        <w:rPr>
          <w:rFonts w:ascii="Arial" w:hAnsi="Arial" w:cs="Arial"/>
          <w:sz w:val="22"/>
          <w:szCs w:val="22"/>
        </w:rPr>
        <w:t xml:space="preserve"> </w:t>
      </w:r>
      <w:r w:rsidR="00952930" w:rsidRPr="00952930">
        <w:rPr>
          <w:rFonts w:ascii="Arial" w:hAnsi="Arial" w:cs="Arial"/>
          <w:sz w:val="22"/>
          <w:szCs w:val="22"/>
        </w:rPr>
        <w:t>the living or deceased that was already held at the time the HT Act came into</w:t>
      </w:r>
      <w:r w:rsidR="00952930">
        <w:rPr>
          <w:rFonts w:ascii="Arial" w:hAnsi="Arial" w:cs="Arial"/>
          <w:sz w:val="22"/>
          <w:szCs w:val="22"/>
        </w:rPr>
        <w:t xml:space="preserve"> </w:t>
      </w:r>
      <w:r w:rsidR="00952930" w:rsidRPr="00952930">
        <w:rPr>
          <w:rFonts w:ascii="Arial" w:hAnsi="Arial" w:cs="Arial"/>
          <w:sz w:val="22"/>
          <w:szCs w:val="22"/>
        </w:rPr>
        <w:t>force on 1 September 2006.</w:t>
      </w:r>
      <w:r w:rsidR="00952930" w:rsidRPr="00952930">
        <w:rPr>
          <w:rFonts w:ascii="Arial" w:hAnsi="Arial" w:cs="Arial"/>
          <w:sz w:val="22"/>
          <w:szCs w:val="22"/>
        </w:rPr>
        <w:cr/>
      </w:r>
    </w:p>
    <w:p w14:paraId="78749128" w14:textId="3F914826" w:rsidR="007708AE" w:rsidRDefault="00952930" w:rsidP="00BD70C2">
      <w:pPr>
        <w:jc w:val="both"/>
        <w:rPr>
          <w:rFonts w:ascii="Arial" w:hAnsi="Arial" w:cs="Arial"/>
          <w:sz w:val="22"/>
          <w:szCs w:val="22"/>
        </w:rPr>
      </w:pPr>
      <w:r>
        <w:rPr>
          <w:rFonts w:ascii="Arial" w:hAnsi="Arial" w:cs="Arial"/>
          <w:sz w:val="22"/>
          <w:szCs w:val="22"/>
        </w:rPr>
        <w:t xml:space="preserve">c. </w:t>
      </w:r>
      <w:r w:rsidRPr="00952930">
        <w:rPr>
          <w:rFonts w:ascii="Arial" w:hAnsi="Arial" w:cs="Arial"/>
          <w:sz w:val="22"/>
          <w:szCs w:val="22"/>
        </w:rPr>
        <w:t xml:space="preserve">Whatever the date the </w:t>
      </w:r>
      <w:r w:rsidR="00462FDF">
        <w:rPr>
          <w:rFonts w:ascii="Arial" w:hAnsi="Arial" w:cs="Arial"/>
          <w:sz w:val="22"/>
          <w:szCs w:val="22"/>
        </w:rPr>
        <w:t xml:space="preserve">Relevant Material </w:t>
      </w:r>
      <w:r w:rsidRPr="00952930">
        <w:rPr>
          <w:rFonts w:ascii="Arial" w:hAnsi="Arial" w:cs="Arial"/>
          <w:sz w:val="22"/>
          <w:szCs w:val="22"/>
        </w:rPr>
        <w:t>was donated for research, if more than 100 years</w:t>
      </w:r>
      <w:r w:rsidR="00BD70C2">
        <w:rPr>
          <w:rFonts w:ascii="Arial" w:hAnsi="Arial" w:cs="Arial"/>
          <w:sz w:val="22"/>
          <w:szCs w:val="22"/>
        </w:rPr>
        <w:t xml:space="preserve"> </w:t>
      </w:r>
      <w:r w:rsidRPr="00952930">
        <w:rPr>
          <w:rFonts w:ascii="Arial" w:hAnsi="Arial" w:cs="Arial"/>
          <w:sz w:val="22"/>
          <w:szCs w:val="22"/>
        </w:rPr>
        <w:t>have elapsed since a person’s death, consent to undertake research on their</w:t>
      </w:r>
      <w:r>
        <w:rPr>
          <w:rFonts w:ascii="Arial" w:hAnsi="Arial" w:cs="Arial"/>
          <w:sz w:val="22"/>
          <w:szCs w:val="22"/>
        </w:rPr>
        <w:t xml:space="preserve"> </w:t>
      </w:r>
      <w:r w:rsidR="00462FDF">
        <w:rPr>
          <w:rFonts w:ascii="Arial" w:hAnsi="Arial" w:cs="Arial"/>
          <w:sz w:val="22"/>
          <w:szCs w:val="22"/>
        </w:rPr>
        <w:t xml:space="preserve">Relevant Material </w:t>
      </w:r>
      <w:r w:rsidRPr="00952930">
        <w:rPr>
          <w:rFonts w:ascii="Arial" w:hAnsi="Arial" w:cs="Arial"/>
          <w:sz w:val="22"/>
          <w:szCs w:val="22"/>
        </w:rPr>
        <w:t>is not required under the HT Act.</w:t>
      </w:r>
      <w:r w:rsidR="00173A90">
        <w:rPr>
          <w:rFonts w:ascii="Arial" w:hAnsi="Arial" w:cs="Arial"/>
          <w:sz w:val="22"/>
          <w:szCs w:val="22"/>
        </w:rPr>
        <w:t xml:space="preserve"> A licence is not required to store this Relevant Material.</w:t>
      </w:r>
    </w:p>
    <w:p w14:paraId="2E14B85F" w14:textId="650F87DE" w:rsidR="00952930" w:rsidRDefault="00952930" w:rsidP="00BD70C2">
      <w:pPr>
        <w:jc w:val="both"/>
        <w:rPr>
          <w:rFonts w:ascii="Arial" w:hAnsi="Arial" w:cs="Arial"/>
          <w:sz w:val="22"/>
          <w:szCs w:val="22"/>
        </w:rPr>
      </w:pPr>
    </w:p>
    <w:p w14:paraId="1FDC2F2F" w14:textId="34E2AFFA" w:rsidR="00952930" w:rsidRDefault="00952930" w:rsidP="00BD70C2">
      <w:pPr>
        <w:jc w:val="both"/>
        <w:rPr>
          <w:rFonts w:ascii="Arial" w:hAnsi="Arial" w:cs="Arial"/>
          <w:sz w:val="22"/>
          <w:szCs w:val="22"/>
        </w:rPr>
      </w:pPr>
      <w:r>
        <w:rPr>
          <w:rFonts w:ascii="Arial" w:hAnsi="Arial" w:cs="Arial"/>
          <w:sz w:val="22"/>
          <w:szCs w:val="22"/>
        </w:rPr>
        <w:t>d. T</w:t>
      </w:r>
      <w:r w:rsidRPr="00952930">
        <w:rPr>
          <w:rFonts w:ascii="Arial" w:hAnsi="Arial" w:cs="Arial"/>
          <w:sz w:val="22"/>
          <w:szCs w:val="22"/>
        </w:rPr>
        <w:t>he consent provisions of the HT Act do not apply to</w:t>
      </w:r>
      <w:r>
        <w:rPr>
          <w:rFonts w:ascii="Arial" w:hAnsi="Arial" w:cs="Arial"/>
          <w:sz w:val="22"/>
          <w:szCs w:val="22"/>
        </w:rPr>
        <w:t xml:space="preserve"> </w:t>
      </w:r>
      <w:r w:rsidRPr="00952930">
        <w:rPr>
          <w:rFonts w:ascii="Arial" w:hAnsi="Arial" w:cs="Arial"/>
          <w:sz w:val="22"/>
          <w:szCs w:val="22"/>
        </w:rPr>
        <w:t xml:space="preserve">imported </w:t>
      </w:r>
      <w:r w:rsidR="00462FDF">
        <w:rPr>
          <w:rFonts w:ascii="Arial" w:hAnsi="Arial" w:cs="Arial"/>
          <w:sz w:val="22"/>
          <w:szCs w:val="22"/>
        </w:rPr>
        <w:t>Relevant Material</w:t>
      </w:r>
      <w:r w:rsidRPr="00952930">
        <w:rPr>
          <w:rFonts w:ascii="Arial" w:hAnsi="Arial" w:cs="Arial"/>
          <w:sz w:val="22"/>
          <w:szCs w:val="22"/>
        </w:rPr>
        <w:t>. However, it</w:t>
      </w:r>
      <w:r>
        <w:rPr>
          <w:rFonts w:ascii="Arial" w:hAnsi="Arial" w:cs="Arial"/>
          <w:sz w:val="22"/>
          <w:szCs w:val="22"/>
        </w:rPr>
        <w:t xml:space="preserve"> is</w:t>
      </w:r>
      <w:r w:rsidRPr="00952930">
        <w:rPr>
          <w:rFonts w:ascii="Arial" w:hAnsi="Arial" w:cs="Arial"/>
          <w:sz w:val="22"/>
          <w:szCs w:val="22"/>
        </w:rPr>
        <w:t xml:space="preserve"> good practice for there to be</w:t>
      </w:r>
      <w:r>
        <w:rPr>
          <w:rFonts w:ascii="Arial" w:hAnsi="Arial" w:cs="Arial"/>
          <w:sz w:val="22"/>
          <w:szCs w:val="22"/>
        </w:rPr>
        <w:t xml:space="preserve"> </w:t>
      </w:r>
      <w:r w:rsidRPr="00952930">
        <w:rPr>
          <w:rFonts w:ascii="Arial" w:hAnsi="Arial" w:cs="Arial"/>
          <w:sz w:val="22"/>
          <w:szCs w:val="22"/>
        </w:rPr>
        <w:t xml:space="preserve">mechanisms in place to provide assurance that the </w:t>
      </w:r>
      <w:r w:rsidR="00462FDF">
        <w:rPr>
          <w:rFonts w:ascii="Arial" w:hAnsi="Arial" w:cs="Arial"/>
          <w:sz w:val="22"/>
          <w:szCs w:val="22"/>
        </w:rPr>
        <w:t xml:space="preserve">Relevant Material </w:t>
      </w:r>
      <w:r w:rsidRPr="00952930">
        <w:rPr>
          <w:rFonts w:ascii="Arial" w:hAnsi="Arial" w:cs="Arial"/>
          <w:sz w:val="22"/>
          <w:szCs w:val="22"/>
        </w:rPr>
        <w:t>has been obtained</w:t>
      </w:r>
      <w:r>
        <w:rPr>
          <w:rFonts w:ascii="Arial" w:hAnsi="Arial" w:cs="Arial"/>
          <w:sz w:val="22"/>
          <w:szCs w:val="22"/>
        </w:rPr>
        <w:t xml:space="preserve"> </w:t>
      </w:r>
      <w:r w:rsidRPr="00952930">
        <w:rPr>
          <w:rFonts w:ascii="Arial" w:hAnsi="Arial" w:cs="Arial"/>
          <w:sz w:val="22"/>
          <w:szCs w:val="22"/>
        </w:rPr>
        <w:t>with valid consent.</w:t>
      </w:r>
      <w:r w:rsidR="00173A90">
        <w:rPr>
          <w:rFonts w:ascii="Arial" w:hAnsi="Arial" w:cs="Arial"/>
          <w:sz w:val="22"/>
          <w:szCs w:val="22"/>
        </w:rPr>
        <w:t xml:space="preserve"> Licensing requirements still apply.</w:t>
      </w:r>
    </w:p>
    <w:p w14:paraId="331336A2" w14:textId="77777777" w:rsidR="00952930" w:rsidRDefault="00952930" w:rsidP="00B52CFD">
      <w:pPr>
        <w:jc w:val="both"/>
        <w:rPr>
          <w:rFonts w:ascii="Arial" w:hAnsi="Arial" w:cs="Arial"/>
          <w:sz w:val="22"/>
          <w:szCs w:val="22"/>
        </w:rPr>
      </w:pPr>
    </w:p>
    <w:p w14:paraId="38E7C34D" w14:textId="0E4579F5" w:rsidR="007708AE" w:rsidRDefault="00CD2C9A" w:rsidP="00B52CFD">
      <w:pPr>
        <w:jc w:val="both"/>
        <w:rPr>
          <w:rFonts w:ascii="Arial" w:hAnsi="Arial" w:cs="Arial"/>
          <w:sz w:val="22"/>
          <w:szCs w:val="22"/>
        </w:rPr>
      </w:pPr>
      <w:r>
        <w:rPr>
          <w:rFonts w:ascii="Arial" w:hAnsi="Arial" w:cs="Arial"/>
          <w:sz w:val="22"/>
          <w:szCs w:val="22"/>
        </w:rPr>
        <w:t xml:space="preserve">Consent may be specific, in relation to a defined project, or broader in its scope as generic consent, for example to allow storage and use of tissue for </w:t>
      </w:r>
      <w:proofErr w:type="gramStart"/>
      <w:r>
        <w:rPr>
          <w:rFonts w:ascii="Arial" w:hAnsi="Arial" w:cs="Arial"/>
          <w:sz w:val="22"/>
          <w:szCs w:val="22"/>
        </w:rPr>
        <w:t>an as yet</w:t>
      </w:r>
      <w:proofErr w:type="gramEnd"/>
      <w:r>
        <w:rPr>
          <w:rFonts w:ascii="Arial" w:hAnsi="Arial" w:cs="Arial"/>
          <w:sz w:val="22"/>
          <w:szCs w:val="22"/>
        </w:rPr>
        <w:t xml:space="preserve"> unknown research project or deposit in a research tissue bank. In practical terms, specific and generic consent may be sought at the same time, to derive the greatest benefit from valuable </w:t>
      </w:r>
      <w:r w:rsidR="00823869">
        <w:rPr>
          <w:rFonts w:ascii="Arial" w:hAnsi="Arial" w:cs="Arial"/>
          <w:sz w:val="22"/>
          <w:szCs w:val="22"/>
        </w:rPr>
        <w:t>samples</w:t>
      </w:r>
      <w:r>
        <w:rPr>
          <w:rFonts w:ascii="Arial" w:hAnsi="Arial" w:cs="Arial"/>
          <w:sz w:val="22"/>
          <w:szCs w:val="22"/>
        </w:rPr>
        <w:t xml:space="preserve"> donated for research.</w:t>
      </w:r>
      <w:r w:rsidR="002E5F97">
        <w:rPr>
          <w:rFonts w:ascii="Arial" w:hAnsi="Arial" w:cs="Arial"/>
          <w:sz w:val="22"/>
          <w:szCs w:val="22"/>
        </w:rPr>
        <w:t xml:space="preserve"> Generic consent should be supported by safeguards and assurances for donors.</w:t>
      </w:r>
    </w:p>
    <w:p w14:paraId="194EB00B" w14:textId="77777777" w:rsidR="00CD2C9A" w:rsidRDefault="00CD2C9A" w:rsidP="00B52CFD">
      <w:pPr>
        <w:jc w:val="both"/>
        <w:rPr>
          <w:rFonts w:ascii="Arial" w:hAnsi="Arial" w:cs="Arial"/>
          <w:sz w:val="22"/>
          <w:szCs w:val="22"/>
        </w:rPr>
      </w:pPr>
    </w:p>
    <w:p w14:paraId="2AACC07D" w14:textId="34D71AD5" w:rsidR="00EC738A" w:rsidRDefault="00B52CFD" w:rsidP="00B52CFD">
      <w:pPr>
        <w:jc w:val="both"/>
        <w:rPr>
          <w:rFonts w:ascii="Arial" w:hAnsi="Arial" w:cs="Arial"/>
          <w:bCs/>
          <w:sz w:val="22"/>
          <w:szCs w:val="22"/>
        </w:rPr>
      </w:pPr>
      <w:r w:rsidRPr="00815EFB">
        <w:rPr>
          <w:rFonts w:ascii="Arial" w:hAnsi="Arial" w:cs="Arial"/>
          <w:bCs/>
          <w:sz w:val="22"/>
          <w:szCs w:val="22"/>
        </w:rPr>
        <w:t xml:space="preserve">The HTA has developed model consent forms </w:t>
      </w:r>
      <w:r w:rsidRPr="00815EFB">
        <w:rPr>
          <w:rFonts w:ascii="Arial" w:hAnsi="Arial" w:cs="Arial"/>
          <w:sz w:val="22"/>
          <w:szCs w:val="22"/>
        </w:rPr>
        <w:t xml:space="preserve">for </w:t>
      </w:r>
      <w:hyperlink r:id="rId25" w:history="1">
        <w:r w:rsidRPr="00725795">
          <w:rPr>
            <w:rStyle w:val="Hyperlink"/>
            <w:rFonts w:ascii="Arial" w:hAnsi="Arial" w:cs="Arial"/>
            <w:sz w:val="22"/>
            <w:szCs w:val="22"/>
          </w:rPr>
          <w:t>post-m</w:t>
        </w:r>
        <w:r w:rsidRPr="00725795">
          <w:rPr>
            <w:rStyle w:val="Hyperlink"/>
            <w:rFonts w:ascii="Arial" w:hAnsi="Arial" w:cs="Arial"/>
            <w:sz w:val="22"/>
            <w:szCs w:val="22"/>
          </w:rPr>
          <w:t>o</w:t>
        </w:r>
        <w:r w:rsidRPr="00725795">
          <w:rPr>
            <w:rStyle w:val="Hyperlink"/>
            <w:rFonts w:ascii="Arial" w:hAnsi="Arial" w:cs="Arial"/>
            <w:sz w:val="22"/>
            <w:szCs w:val="22"/>
          </w:rPr>
          <w:t>rtem examinations</w:t>
        </w:r>
      </w:hyperlink>
      <w:r w:rsidRPr="00815EFB">
        <w:rPr>
          <w:rFonts w:ascii="Arial" w:hAnsi="Arial" w:cs="Arial"/>
          <w:sz w:val="22"/>
          <w:szCs w:val="22"/>
        </w:rPr>
        <w:t xml:space="preserve"> and </w:t>
      </w:r>
      <w:hyperlink r:id="rId26" w:history="1">
        <w:r w:rsidRPr="00725795">
          <w:rPr>
            <w:rStyle w:val="Hyperlink"/>
            <w:rFonts w:ascii="Arial" w:hAnsi="Arial" w:cs="Arial"/>
            <w:sz w:val="22"/>
            <w:szCs w:val="22"/>
          </w:rPr>
          <w:t>b</w:t>
        </w:r>
        <w:r w:rsidRPr="00725795">
          <w:rPr>
            <w:rStyle w:val="Hyperlink"/>
            <w:rFonts w:ascii="Arial" w:hAnsi="Arial" w:cs="Arial"/>
            <w:sz w:val="22"/>
            <w:szCs w:val="22"/>
          </w:rPr>
          <w:t>o</w:t>
        </w:r>
        <w:r w:rsidRPr="00725795">
          <w:rPr>
            <w:rStyle w:val="Hyperlink"/>
            <w:rFonts w:ascii="Arial" w:hAnsi="Arial" w:cs="Arial"/>
            <w:sz w:val="22"/>
            <w:szCs w:val="22"/>
          </w:rPr>
          <w:t>dy donation</w:t>
        </w:r>
      </w:hyperlink>
      <w:r w:rsidRPr="00815EFB">
        <w:rPr>
          <w:rFonts w:ascii="Arial" w:hAnsi="Arial" w:cs="Arial"/>
          <w:bCs/>
          <w:sz w:val="22"/>
          <w:szCs w:val="22"/>
        </w:rPr>
        <w:t>, which are available on its website</w:t>
      </w:r>
      <w:r w:rsidR="00725795">
        <w:rPr>
          <w:rFonts w:ascii="Arial" w:hAnsi="Arial" w:cs="Arial"/>
          <w:bCs/>
          <w:sz w:val="22"/>
          <w:szCs w:val="22"/>
        </w:rPr>
        <w:t>.</w:t>
      </w:r>
      <w:r w:rsidRPr="00815EFB">
        <w:rPr>
          <w:rFonts w:ascii="Arial" w:hAnsi="Arial" w:cs="Arial"/>
          <w:bCs/>
          <w:sz w:val="22"/>
          <w:szCs w:val="22"/>
        </w:rPr>
        <w:t xml:space="preserve"> </w:t>
      </w:r>
    </w:p>
    <w:p w14:paraId="565AA31A" w14:textId="77777777" w:rsidR="00B52CFD" w:rsidRDefault="00B52CFD" w:rsidP="00B52CFD">
      <w:pPr>
        <w:jc w:val="both"/>
        <w:rPr>
          <w:rFonts w:ascii="Arial" w:hAnsi="Arial" w:cs="Arial"/>
          <w:bCs/>
          <w:sz w:val="22"/>
          <w:szCs w:val="22"/>
        </w:rPr>
      </w:pPr>
    </w:p>
    <w:p w14:paraId="09436885" w14:textId="250448FD" w:rsidR="008B5FE1" w:rsidRDefault="00B52CFD" w:rsidP="0043202A">
      <w:pPr>
        <w:jc w:val="both"/>
        <w:rPr>
          <w:rFonts w:ascii="Arial" w:hAnsi="Arial" w:cs="Arial"/>
          <w:bCs/>
          <w:sz w:val="22"/>
          <w:szCs w:val="22"/>
        </w:rPr>
      </w:pPr>
      <w:r>
        <w:rPr>
          <w:rFonts w:ascii="Arial" w:hAnsi="Arial" w:cs="Arial"/>
          <w:bCs/>
          <w:sz w:val="22"/>
          <w:szCs w:val="22"/>
        </w:rPr>
        <w:t xml:space="preserve">If the purpose of storage of </w:t>
      </w:r>
      <w:r>
        <w:rPr>
          <w:rFonts w:ascii="Arial" w:hAnsi="Arial" w:cs="Arial"/>
          <w:sz w:val="22"/>
          <w:szCs w:val="22"/>
        </w:rPr>
        <w:t xml:space="preserve">Relevant Material </w:t>
      </w:r>
      <w:r>
        <w:rPr>
          <w:rFonts w:ascii="Arial" w:hAnsi="Arial" w:cs="Arial"/>
          <w:bCs/>
          <w:sz w:val="22"/>
          <w:szCs w:val="22"/>
        </w:rPr>
        <w:t xml:space="preserve">from a living person is for </w:t>
      </w:r>
      <w:proofErr w:type="gramStart"/>
      <w:r>
        <w:rPr>
          <w:rFonts w:ascii="Arial" w:hAnsi="Arial" w:cs="Arial"/>
          <w:bCs/>
          <w:sz w:val="22"/>
          <w:szCs w:val="22"/>
        </w:rPr>
        <w:t>research</w:t>
      </w:r>
      <w:proofErr w:type="gramEnd"/>
      <w:r>
        <w:rPr>
          <w:rFonts w:ascii="Arial" w:hAnsi="Arial" w:cs="Arial"/>
          <w:bCs/>
          <w:sz w:val="22"/>
          <w:szCs w:val="22"/>
        </w:rPr>
        <w:t xml:space="preserve"> then </w:t>
      </w:r>
      <w:r w:rsidR="00114AAE">
        <w:rPr>
          <w:rFonts w:ascii="Arial" w:hAnsi="Arial" w:cs="Arial"/>
          <w:bCs/>
          <w:sz w:val="22"/>
          <w:szCs w:val="22"/>
        </w:rPr>
        <w:t xml:space="preserve">information sheets and </w:t>
      </w:r>
      <w:r>
        <w:rPr>
          <w:rFonts w:ascii="Arial" w:hAnsi="Arial" w:cs="Arial"/>
          <w:bCs/>
          <w:sz w:val="22"/>
          <w:szCs w:val="22"/>
        </w:rPr>
        <w:t xml:space="preserve">consent </w:t>
      </w:r>
      <w:r w:rsidR="00114AAE">
        <w:rPr>
          <w:rFonts w:ascii="Arial" w:hAnsi="Arial" w:cs="Arial"/>
          <w:bCs/>
          <w:sz w:val="22"/>
          <w:szCs w:val="22"/>
        </w:rPr>
        <w:t xml:space="preserve">forms </w:t>
      </w:r>
      <w:r>
        <w:rPr>
          <w:rFonts w:ascii="Arial" w:hAnsi="Arial" w:cs="Arial"/>
          <w:bCs/>
          <w:sz w:val="22"/>
          <w:szCs w:val="22"/>
        </w:rPr>
        <w:t xml:space="preserve">must follow the </w:t>
      </w:r>
      <w:hyperlink r:id="rId27" w:history="1">
        <w:r w:rsidR="00306E20" w:rsidRPr="00306E20">
          <w:rPr>
            <w:rStyle w:val="Hyperlink"/>
            <w:rFonts w:ascii="Arial" w:hAnsi="Arial" w:cs="Arial"/>
            <w:bCs/>
            <w:sz w:val="22"/>
            <w:szCs w:val="22"/>
          </w:rPr>
          <w:t xml:space="preserve">HRA </w:t>
        </w:r>
        <w:r w:rsidRPr="00306E20">
          <w:rPr>
            <w:rStyle w:val="Hyperlink"/>
            <w:rFonts w:ascii="Arial" w:hAnsi="Arial" w:cs="Arial"/>
            <w:bCs/>
            <w:sz w:val="22"/>
            <w:szCs w:val="22"/>
          </w:rPr>
          <w:t>g</w:t>
        </w:r>
        <w:r w:rsidRPr="00306E20">
          <w:rPr>
            <w:rStyle w:val="Hyperlink"/>
            <w:rFonts w:ascii="Arial" w:hAnsi="Arial" w:cs="Arial"/>
            <w:bCs/>
            <w:sz w:val="22"/>
            <w:szCs w:val="22"/>
          </w:rPr>
          <w:t>uidance</w:t>
        </w:r>
      </w:hyperlink>
      <w:r w:rsidR="00306E20">
        <w:rPr>
          <w:rFonts w:ascii="Arial" w:hAnsi="Arial" w:cs="Arial"/>
          <w:bCs/>
          <w:sz w:val="22"/>
          <w:szCs w:val="22"/>
        </w:rPr>
        <w:t>.</w:t>
      </w:r>
      <w:r w:rsidR="008B5FE1" w:rsidRPr="002B7A88">
        <w:rPr>
          <w:rStyle w:val="Hyperlink"/>
          <w:rFonts w:ascii="Arial" w:hAnsi="Arial" w:cs="Arial"/>
          <w:sz w:val="22"/>
          <w:szCs w:val="22"/>
        </w:rPr>
        <w:br/>
      </w:r>
      <w:r w:rsidR="008B5FE1">
        <w:rPr>
          <w:rFonts w:ascii="Arial" w:hAnsi="Arial" w:cs="Arial"/>
          <w:bCs/>
          <w:sz w:val="22"/>
          <w:szCs w:val="22"/>
        </w:rPr>
        <w:t xml:space="preserve"> </w:t>
      </w:r>
    </w:p>
    <w:p w14:paraId="6D28A2D2" w14:textId="7A0D660B" w:rsidR="0043202A" w:rsidRDefault="00B52CFD" w:rsidP="0043202A">
      <w:pPr>
        <w:jc w:val="both"/>
        <w:rPr>
          <w:rFonts w:ascii="Arial" w:hAnsi="Arial" w:cs="Arial"/>
          <w:bCs/>
          <w:sz w:val="22"/>
          <w:szCs w:val="22"/>
        </w:rPr>
      </w:pPr>
      <w:r>
        <w:rPr>
          <w:rFonts w:ascii="Arial" w:hAnsi="Arial" w:cs="Arial"/>
          <w:bCs/>
          <w:sz w:val="22"/>
          <w:szCs w:val="22"/>
        </w:rPr>
        <w:t>Once obtained, consent forms must be filed</w:t>
      </w:r>
      <w:r w:rsidR="0043202A">
        <w:rPr>
          <w:rFonts w:ascii="Arial" w:hAnsi="Arial" w:cs="Arial"/>
          <w:bCs/>
          <w:sz w:val="22"/>
          <w:szCs w:val="22"/>
        </w:rPr>
        <w:t xml:space="preserve"> as follows:</w:t>
      </w:r>
    </w:p>
    <w:p w14:paraId="15493A1A" w14:textId="69C9FE34" w:rsidR="0043202A" w:rsidRDefault="0043202A" w:rsidP="003841B1">
      <w:pPr>
        <w:pStyle w:val="ListParagraph"/>
        <w:numPr>
          <w:ilvl w:val="0"/>
          <w:numId w:val="54"/>
        </w:numPr>
        <w:jc w:val="both"/>
        <w:rPr>
          <w:rFonts w:cs="Arial"/>
          <w:bCs/>
          <w:sz w:val="22"/>
          <w:szCs w:val="22"/>
        </w:rPr>
      </w:pPr>
      <w:r w:rsidRPr="003841B1">
        <w:rPr>
          <w:rFonts w:cs="Arial"/>
          <w:bCs/>
          <w:sz w:val="22"/>
          <w:szCs w:val="22"/>
        </w:rPr>
        <w:t>for a specific research study involving patients,</w:t>
      </w:r>
      <w:r w:rsidR="00B52CFD" w:rsidRPr="003841B1">
        <w:rPr>
          <w:rFonts w:cs="Arial"/>
          <w:bCs/>
          <w:sz w:val="22"/>
          <w:szCs w:val="22"/>
        </w:rPr>
        <w:t xml:space="preserve"> in the patient’s clinical notes with a copy in the research study master file kept by the Principal Investigator</w:t>
      </w:r>
    </w:p>
    <w:p w14:paraId="6BF95D28" w14:textId="4F220FEF" w:rsidR="0043202A" w:rsidRPr="003841B1" w:rsidRDefault="00B52CFD" w:rsidP="003841B1">
      <w:pPr>
        <w:pStyle w:val="ListParagraph"/>
        <w:numPr>
          <w:ilvl w:val="0"/>
          <w:numId w:val="54"/>
        </w:numPr>
        <w:jc w:val="both"/>
        <w:rPr>
          <w:rFonts w:cs="Arial"/>
          <w:bCs/>
          <w:sz w:val="22"/>
          <w:szCs w:val="22"/>
        </w:rPr>
      </w:pPr>
      <w:r w:rsidRPr="003841B1">
        <w:rPr>
          <w:rFonts w:cs="Arial"/>
          <w:bCs/>
          <w:sz w:val="22"/>
          <w:szCs w:val="22"/>
        </w:rPr>
        <w:t>for</w:t>
      </w:r>
      <w:r w:rsidR="0043202A" w:rsidRPr="003841B1">
        <w:rPr>
          <w:rFonts w:cs="Arial"/>
          <w:bCs/>
          <w:sz w:val="22"/>
          <w:szCs w:val="22"/>
        </w:rPr>
        <w:t xml:space="preserve"> a specific research study involving</w:t>
      </w:r>
      <w:r w:rsidRPr="003841B1">
        <w:rPr>
          <w:rFonts w:cs="Arial"/>
          <w:bCs/>
          <w:sz w:val="22"/>
          <w:szCs w:val="22"/>
        </w:rPr>
        <w:t xml:space="preserve"> healthy volunteers, in the study master file </w:t>
      </w:r>
    </w:p>
    <w:p w14:paraId="7B1EC256" w14:textId="3688C33E" w:rsidR="0043202A" w:rsidRPr="0043202A" w:rsidRDefault="003841B1" w:rsidP="003841B1">
      <w:pPr>
        <w:pStyle w:val="ListParagraph"/>
        <w:numPr>
          <w:ilvl w:val="0"/>
          <w:numId w:val="54"/>
        </w:numPr>
        <w:jc w:val="both"/>
        <w:rPr>
          <w:rFonts w:cs="Arial"/>
          <w:sz w:val="22"/>
          <w:szCs w:val="22"/>
        </w:rPr>
      </w:pPr>
      <w:r>
        <w:rPr>
          <w:rFonts w:cs="Arial"/>
          <w:bCs/>
          <w:sz w:val="22"/>
          <w:szCs w:val="22"/>
        </w:rPr>
        <w:t>f</w:t>
      </w:r>
      <w:r w:rsidR="0043202A">
        <w:rPr>
          <w:rFonts w:cs="Arial"/>
          <w:bCs/>
          <w:sz w:val="22"/>
          <w:szCs w:val="22"/>
        </w:rPr>
        <w:t>or tissue bank donations from patients, in the patient’s clinical notes with a copy in the tissue banks master file kept by the tissue bank manager.</w:t>
      </w:r>
    </w:p>
    <w:p w14:paraId="6955930F" w14:textId="0026C3DC" w:rsidR="0043202A" w:rsidRPr="0043202A" w:rsidRDefault="003841B1" w:rsidP="003841B1">
      <w:pPr>
        <w:pStyle w:val="ListParagraph"/>
        <w:numPr>
          <w:ilvl w:val="0"/>
          <w:numId w:val="54"/>
        </w:numPr>
        <w:jc w:val="both"/>
        <w:rPr>
          <w:rFonts w:cs="Arial"/>
          <w:sz w:val="22"/>
          <w:szCs w:val="22"/>
        </w:rPr>
      </w:pPr>
      <w:r>
        <w:rPr>
          <w:rFonts w:cs="Arial"/>
          <w:bCs/>
          <w:sz w:val="22"/>
          <w:szCs w:val="22"/>
        </w:rPr>
        <w:t>f</w:t>
      </w:r>
      <w:r w:rsidR="0043202A">
        <w:rPr>
          <w:rFonts w:cs="Arial"/>
          <w:bCs/>
          <w:sz w:val="22"/>
          <w:szCs w:val="22"/>
        </w:rPr>
        <w:t>or tissue bank donations from healthy volunteers in the tissue banks master file kept by the tissue manager.</w:t>
      </w:r>
    </w:p>
    <w:p w14:paraId="7006C8E7" w14:textId="0E126CA3" w:rsidR="00D064DF" w:rsidRDefault="00D064DF" w:rsidP="0043202A">
      <w:pPr>
        <w:jc w:val="both"/>
        <w:rPr>
          <w:rFonts w:ascii="Arial" w:hAnsi="Arial" w:cs="Arial"/>
          <w:bCs/>
          <w:sz w:val="22"/>
          <w:szCs w:val="22"/>
        </w:rPr>
      </w:pPr>
      <w:r w:rsidRPr="00085ABB">
        <w:rPr>
          <w:rFonts w:ascii="Arial" w:hAnsi="Arial" w:cs="Arial"/>
          <w:bCs/>
          <w:sz w:val="22"/>
          <w:szCs w:val="22"/>
        </w:rPr>
        <w:lastRenderedPageBreak/>
        <w:t xml:space="preserve">In situations where a </w:t>
      </w:r>
      <w:r w:rsidR="008E3E25">
        <w:rPr>
          <w:rFonts w:ascii="Arial" w:hAnsi="Arial" w:cs="Arial"/>
          <w:bCs/>
          <w:sz w:val="22"/>
          <w:szCs w:val="22"/>
        </w:rPr>
        <w:t>University HTA</w:t>
      </w:r>
      <w:r w:rsidR="001C7819" w:rsidRPr="00085ABB">
        <w:rPr>
          <w:rFonts w:ascii="Arial" w:hAnsi="Arial" w:cs="Arial"/>
          <w:bCs/>
          <w:sz w:val="22"/>
          <w:szCs w:val="22"/>
        </w:rPr>
        <w:t xml:space="preserve"> </w:t>
      </w:r>
      <w:r w:rsidRPr="00085ABB">
        <w:rPr>
          <w:rFonts w:ascii="Arial" w:hAnsi="Arial" w:cs="Arial"/>
          <w:bCs/>
          <w:sz w:val="22"/>
          <w:szCs w:val="22"/>
        </w:rPr>
        <w:t>licence store</w:t>
      </w:r>
      <w:r w:rsidR="008E3E25">
        <w:rPr>
          <w:rFonts w:ascii="Arial" w:hAnsi="Arial" w:cs="Arial"/>
          <w:bCs/>
          <w:sz w:val="22"/>
          <w:szCs w:val="22"/>
        </w:rPr>
        <w:t>s</w:t>
      </w:r>
      <w:r w:rsidRPr="00085ABB">
        <w:rPr>
          <w:rFonts w:ascii="Arial" w:hAnsi="Arial" w:cs="Arial"/>
          <w:bCs/>
          <w:sz w:val="22"/>
          <w:szCs w:val="22"/>
        </w:rPr>
        <w:t xml:space="preserve"> </w:t>
      </w:r>
      <w:r w:rsidR="00E20C8F">
        <w:rPr>
          <w:rFonts w:ascii="Arial" w:hAnsi="Arial" w:cs="Arial"/>
          <w:bCs/>
          <w:sz w:val="22"/>
          <w:szCs w:val="22"/>
        </w:rPr>
        <w:t xml:space="preserve">samples </w:t>
      </w:r>
      <w:r w:rsidRPr="00085ABB">
        <w:rPr>
          <w:rFonts w:ascii="Arial" w:hAnsi="Arial" w:cs="Arial"/>
          <w:bCs/>
          <w:sz w:val="22"/>
          <w:szCs w:val="22"/>
        </w:rPr>
        <w:t>from a study whose ethical approval has expired, either</w:t>
      </w:r>
      <w:r w:rsidR="001C7819" w:rsidRPr="00085ABB">
        <w:rPr>
          <w:rFonts w:ascii="Arial" w:hAnsi="Arial" w:cs="Arial"/>
          <w:bCs/>
          <w:sz w:val="22"/>
          <w:szCs w:val="22"/>
        </w:rPr>
        <w:t>:</w:t>
      </w:r>
    </w:p>
    <w:p w14:paraId="2E5BEAB6" w14:textId="77777777" w:rsidR="008D48E1" w:rsidRPr="00085ABB" w:rsidRDefault="008D48E1" w:rsidP="0043202A">
      <w:pPr>
        <w:jc w:val="both"/>
        <w:rPr>
          <w:rFonts w:ascii="Arial" w:hAnsi="Arial" w:cs="Arial"/>
          <w:bCs/>
          <w:sz w:val="22"/>
          <w:szCs w:val="22"/>
        </w:rPr>
      </w:pPr>
    </w:p>
    <w:p w14:paraId="184DF296" w14:textId="12D827BF" w:rsidR="00D064DF" w:rsidRDefault="00085ABB" w:rsidP="0043202A">
      <w:pPr>
        <w:jc w:val="both"/>
        <w:rPr>
          <w:rFonts w:ascii="Arial" w:hAnsi="Arial" w:cs="Arial"/>
          <w:bCs/>
          <w:sz w:val="22"/>
          <w:szCs w:val="22"/>
        </w:rPr>
      </w:pPr>
      <w:r>
        <w:rPr>
          <w:rFonts w:ascii="Arial" w:hAnsi="Arial" w:cs="Arial"/>
          <w:bCs/>
          <w:sz w:val="22"/>
          <w:szCs w:val="22"/>
        </w:rPr>
        <w:t xml:space="preserve">a. </w:t>
      </w:r>
      <w:r w:rsidR="00D064DF" w:rsidRPr="00085ABB">
        <w:rPr>
          <w:rFonts w:ascii="Arial" w:hAnsi="Arial" w:cs="Arial"/>
          <w:bCs/>
          <w:sz w:val="22"/>
          <w:szCs w:val="22"/>
        </w:rPr>
        <w:t xml:space="preserve">copies of the original consent forms should be stored with the </w:t>
      </w:r>
      <w:r w:rsidR="000C71B7">
        <w:rPr>
          <w:rFonts w:ascii="Arial" w:hAnsi="Arial" w:cs="Arial"/>
          <w:bCs/>
          <w:sz w:val="22"/>
          <w:szCs w:val="22"/>
        </w:rPr>
        <w:t>Relevant Material</w:t>
      </w:r>
      <w:r w:rsidR="00D064DF" w:rsidRPr="00085ABB">
        <w:rPr>
          <w:rFonts w:ascii="Arial" w:hAnsi="Arial" w:cs="Arial"/>
          <w:bCs/>
          <w:sz w:val="22"/>
          <w:szCs w:val="22"/>
        </w:rPr>
        <w:t xml:space="preserve">; or </w:t>
      </w:r>
    </w:p>
    <w:p w14:paraId="52F74EC5" w14:textId="77777777" w:rsidR="008D48E1" w:rsidRPr="00085ABB" w:rsidRDefault="008D48E1" w:rsidP="0043202A">
      <w:pPr>
        <w:jc w:val="both"/>
        <w:rPr>
          <w:rFonts w:ascii="Arial" w:hAnsi="Arial" w:cs="Arial"/>
          <w:bCs/>
          <w:sz w:val="22"/>
          <w:szCs w:val="22"/>
        </w:rPr>
      </w:pPr>
    </w:p>
    <w:p w14:paraId="721126BB" w14:textId="50B9ED2E" w:rsidR="001C7819" w:rsidRDefault="00085ABB" w:rsidP="0043202A">
      <w:pPr>
        <w:jc w:val="both"/>
        <w:rPr>
          <w:rFonts w:ascii="Arial" w:hAnsi="Arial" w:cs="Arial"/>
          <w:bCs/>
          <w:sz w:val="22"/>
          <w:szCs w:val="22"/>
        </w:rPr>
      </w:pPr>
      <w:r>
        <w:rPr>
          <w:rFonts w:ascii="Arial" w:hAnsi="Arial" w:cs="Arial"/>
          <w:bCs/>
          <w:sz w:val="22"/>
          <w:szCs w:val="22"/>
        </w:rPr>
        <w:t>b. w</w:t>
      </w:r>
      <w:r w:rsidR="0076757D" w:rsidRPr="00085ABB">
        <w:rPr>
          <w:rFonts w:ascii="Arial" w:hAnsi="Arial" w:cs="Arial"/>
          <w:bCs/>
          <w:sz w:val="22"/>
          <w:szCs w:val="22"/>
        </w:rPr>
        <w:t>here the</w:t>
      </w:r>
      <w:r w:rsidR="00E20C8F">
        <w:rPr>
          <w:rFonts w:ascii="Arial" w:hAnsi="Arial" w:cs="Arial"/>
          <w:bCs/>
          <w:sz w:val="22"/>
          <w:szCs w:val="22"/>
        </w:rPr>
        <w:t xml:space="preserve"> individual</w:t>
      </w:r>
      <w:r w:rsidR="0076757D" w:rsidRPr="00085ABB">
        <w:rPr>
          <w:rFonts w:ascii="Arial" w:hAnsi="Arial" w:cs="Arial"/>
          <w:bCs/>
          <w:sz w:val="22"/>
          <w:szCs w:val="22"/>
        </w:rPr>
        <w:t xml:space="preserve"> consent forms are to remain with the </w:t>
      </w:r>
      <w:r w:rsidR="001C7819" w:rsidRPr="00085ABB">
        <w:rPr>
          <w:rFonts w:ascii="Arial" w:hAnsi="Arial" w:cs="Arial"/>
          <w:bCs/>
          <w:sz w:val="22"/>
          <w:szCs w:val="22"/>
        </w:rPr>
        <w:t>other party</w:t>
      </w:r>
      <w:r w:rsidR="0076757D" w:rsidRPr="00085ABB">
        <w:rPr>
          <w:rFonts w:ascii="Arial" w:hAnsi="Arial" w:cs="Arial"/>
          <w:bCs/>
          <w:sz w:val="22"/>
          <w:szCs w:val="22"/>
        </w:rPr>
        <w:t xml:space="preserve"> </w:t>
      </w:r>
      <w:r w:rsidR="00D064DF" w:rsidRPr="00085ABB">
        <w:rPr>
          <w:rFonts w:ascii="Arial" w:hAnsi="Arial" w:cs="Arial"/>
          <w:bCs/>
          <w:sz w:val="22"/>
          <w:szCs w:val="22"/>
        </w:rPr>
        <w:t>the following reassurance</w:t>
      </w:r>
      <w:r w:rsidR="008E3E25">
        <w:rPr>
          <w:rFonts w:ascii="Arial" w:hAnsi="Arial" w:cs="Arial"/>
          <w:bCs/>
          <w:sz w:val="22"/>
          <w:szCs w:val="22"/>
        </w:rPr>
        <w:t>s</w:t>
      </w:r>
      <w:r w:rsidR="00D064DF" w:rsidRPr="00085ABB">
        <w:rPr>
          <w:rFonts w:ascii="Arial" w:hAnsi="Arial" w:cs="Arial"/>
          <w:bCs/>
          <w:sz w:val="22"/>
          <w:szCs w:val="22"/>
        </w:rPr>
        <w:t xml:space="preserve"> should be provided and documented between the parties</w:t>
      </w:r>
      <w:r w:rsidR="0076757D" w:rsidRPr="00085ABB">
        <w:rPr>
          <w:rFonts w:ascii="Arial" w:hAnsi="Arial" w:cs="Arial"/>
          <w:bCs/>
          <w:sz w:val="22"/>
          <w:szCs w:val="22"/>
        </w:rPr>
        <w:t xml:space="preserve">: </w:t>
      </w:r>
    </w:p>
    <w:p w14:paraId="54607273" w14:textId="43323651" w:rsidR="001C7819" w:rsidRPr="00085ABB" w:rsidRDefault="0076757D" w:rsidP="00085ABB">
      <w:pPr>
        <w:pStyle w:val="ListParagraph"/>
        <w:numPr>
          <w:ilvl w:val="0"/>
          <w:numId w:val="56"/>
        </w:numPr>
        <w:jc w:val="both"/>
        <w:rPr>
          <w:rFonts w:cs="Arial"/>
          <w:bCs/>
          <w:sz w:val="22"/>
          <w:szCs w:val="22"/>
        </w:rPr>
      </w:pPr>
      <w:r w:rsidRPr="00085ABB">
        <w:rPr>
          <w:rFonts w:cs="Arial"/>
          <w:bCs/>
          <w:sz w:val="22"/>
          <w:szCs w:val="22"/>
        </w:rPr>
        <w:t xml:space="preserve">confirmation that </w:t>
      </w:r>
      <w:proofErr w:type="gramStart"/>
      <w:r w:rsidRPr="00085ABB">
        <w:rPr>
          <w:rFonts w:cs="Arial"/>
          <w:bCs/>
          <w:sz w:val="22"/>
          <w:szCs w:val="22"/>
        </w:rPr>
        <w:t>appropriate</w:t>
      </w:r>
      <w:proofErr w:type="gramEnd"/>
      <w:r w:rsidRPr="00085ABB">
        <w:rPr>
          <w:rFonts w:cs="Arial"/>
          <w:bCs/>
          <w:sz w:val="22"/>
          <w:szCs w:val="22"/>
        </w:rPr>
        <w:t xml:space="preserve"> consent is in pla</w:t>
      </w:r>
      <w:r w:rsidR="001C7819" w:rsidRPr="00085ABB">
        <w:rPr>
          <w:rFonts w:cs="Arial"/>
          <w:bCs/>
          <w:sz w:val="22"/>
          <w:szCs w:val="22"/>
        </w:rPr>
        <w:t>ce</w:t>
      </w:r>
      <w:r w:rsidR="00725795">
        <w:rPr>
          <w:rFonts w:cs="Arial"/>
          <w:bCs/>
          <w:sz w:val="22"/>
          <w:szCs w:val="22"/>
        </w:rPr>
        <w:t>,</w:t>
      </w:r>
      <w:r w:rsidR="001C7819" w:rsidRPr="00085ABB">
        <w:rPr>
          <w:rFonts w:cs="Arial"/>
          <w:bCs/>
          <w:sz w:val="22"/>
          <w:szCs w:val="22"/>
        </w:rPr>
        <w:t xml:space="preserve"> including a copy of the blank participant information sheet and/or consent form</w:t>
      </w:r>
      <w:r w:rsidR="00725795">
        <w:rPr>
          <w:rFonts w:cs="Arial"/>
          <w:bCs/>
          <w:sz w:val="22"/>
          <w:szCs w:val="22"/>
        </w:rPr>
        <w:t>;</w:t>
      </w:r>
      <w:r w:rsidR="001C7819" w:rsidRPr="00085ABB">
        <w:rPr>
          <w:rFonts w:cs="Arial"/>
          <w:bCs/>
          <w:sz w:val="22"/>
          <w:szCs w:val="22"/>
        </w:rPr>
        <w:t xml:space="preserve"> </w:t>
      </w:r>
    </w:p>
    <w:p w14:paraId="4C0E85B3" w14:textId="59519DC4" w:rsidR="001C7819" w:rsidRPr="00085ABB" w:rsidRDefault="00085ABB" w:rsidP="00085ABB">
      <w:pPr>
        <w:pStyle w:val="ListParagraph"/>
        <w:numPr>
          <w:ilvl w:val="0"/>
          <w:numId w:val="56"/>
        </w:numPr>
        <w:jc w:val="both"/>
        <w:rPr>
          <w:rFonts w:cs="Arial"/>
          <w:bCs/>
          <w:sz w:val="22"/>
          <w:szCs w:val="22"/>
        </w:rPr>
      </w:pPr>
      <w:r>
        <w:rPr>
          <w:rFonts w:cs="Arial"/>
          <w:bCs/>
          <w:sz w:val="22"/>
          <w:szCs w:val="22"/>
        </w:rPr>
        <w:t>c</w:t>
      </w:r>
      <w:r w:rsidR="001C7819" w:rsidRPr="00085ABB">
        <w:rPr>
          <w:rFonts w:cs="Arial"/>
          <w:bCs/>
          <w:sz w:val="22"/>
          <w:szCs w:val="22"/>
        </w:rPr>
        <w:t xml:space="preserve">onfirmation that </w:t>
      </w:r>
      <w:proofErr w:type="gramStart"/>
      <w:r w:rsidR="001C7819" w:rsidRPr="00085ABB">
        <w:rPr>
          <w:rFonts w:cs="Arial"/>
          <w:bCs/>
          <w:sz w:val="22"/>
          <w:szCs w:val="22"/>
        </w:rPr>
        <w:t>consent</w:t>
      </w:r>
      <w:proofErr w:type="gramEnd"/>
      <w:r w:rsidR="001C7819" w:rsidRPr="00085ABB">
        <w:rPr>
          <w:rFonts w:cs="Arial"/>
          <w:bCs/>
          <w:sz w:val="22"/>
          <w:szCs w:val="22"/>
        </w:rPr>
        <w:t xml:space="preserve"> forms will not be destroyed while </w:t>
      </w:r>
      <w:r w:rsidR="000C71B7">
        <w:rPr>
          <w:rFonts w:cs="Arial"/>
          <w:bCs/>
          <w:sz w:val="22"/>
          <w:szCs w:val="22"/>
        </w:rPr>
        <w:t>Relevant Material</w:t>
      </w:r>
      <w:r w:rsidR="000C71B7" w:rsidRPr="00085ABB">
        <w:rPr>
          <w:rFonts w:cs="Arial"/>
          <w:bCs/>
          <w:sz w:val="22"/>
          <w:szCs w:val="22"/>
        </w:rPr>
        <w:t xml:space="preserve"> </w:t>
      </w:r>
      <w:r w:rsidR="001C7819" w:rsidRPr="00085ABB">
        <w:rPr>
          <w:rFonts w:cs="Arial"/>
          <w:bCs/>
          <w:sz w:val="22"/>
          <w:szCs w:val="22"/>
        </w:rPr>
        <w:t>are still held</w:t>
      </w:r>
      <w:r w:rsidR="008E3E25" w:rsidRPr="00085ABB">
        <w:rPr>
          <w:rFonts w:cs="Arial"/>
          <w:bCs/>
          <w:sz w:val="22"/>
          <w:szCs w:val="22"/>
        </w:rPr>
        <w:t xml:space="preserve"> by </w:t>
      </w:r>
      <w:r w:rsidRPr="00085ABB">
        <w:rPr>
          <w:rFonts w:cs="Arial"/>
          <w:bCs/>
          <w:sz w:val="22"/>
          <w:szCs w:val="22"/>
        </w:rPr>
        <w:t>the University</w:t>
      </w:r>
      <w:r w:rsidR="00725795">
        <w:rPr>
          <w:rFonts w:cs="Arial"/>
          <w:bCs/>
          <w:sz w:val="22"/>
          <w:szCs w:val="22"/>
        </w:rPr>
        <w:t>;</w:t>
      </w:r>
    </w:p>
    <w:p w14:paraId="5DD5710C" w14:textId="27D65D0F" w:rsidR="001C7819" w:rsidRPr="00085ABB" w:rsidRDefault="00725795" w:rsidP="00085ABB">
      <w:pPr>
        <w:pStyle w:val="ListParagraph"/>
        <w:numPr>
          <w:ilvl w:val="0"/>
          <w:numId w:val="56"/>
        </w:numPr>
        <w:jc w:val="both"/>
        <w:rPr>
          <w:rFonts w:cs="Arial"/>
          <w:bCs/>
          <w:sz w:val="22"/>
          <w:szCs w:val="22"/>
        </w:rPr>
      </w:pPr>
      <w:r>
        <w:rPr>
          <w:rFonts w:cs="Arial"/>
          <w:bCs/>
          <w:sz w:val="22"/>
          <w:szCs w:val="22"/>
        </w:rPr>
        <w:t>c</w:t>
      </w:r>
      <w:r w:rsidRPr="00085ABB">
        <w:rPr>
          <w:rFonts w:cs="Arial"/>
          <w:bCs/>
          <w:sz w:val="22"/>
          <w:szCs w:val="22"/>
        </w:rPr>
        <w:t xml:space="preserve">onfirmation that </w:t>
      </w:r>
      <w:r w:rsidR="00085ABB" w:rsidRPr="00085ABB">
        <w:rPr>
          <w:rFonts w:cs="Arial"/>
          <w:bCs/>
          <w:sz w:val="22"/>
          <w:szCs w:val="22"/>
        </w:rPr>
        <w:t>the University</w:t>
      </w:r>
      <w:r>
        <w:rPr>
          <w:rFonts w:cs="Arial"/>
          <w:bCs/>
          <w:sz w:val="22"/>
          <w:szCs w:val="22"/>
        </w:rPr>
        <w:t xml:space="preserve"> will be advised</w:t>
      </w:r>
      <w:r w:rsidR="001C7819" w:rsidRPr="00085ABB">
        <w:rPr>
          <w:rFonts w:cs="Arial"/>
          <w:bCs/>
          <w:sz w:val="22"/>
          <w:szCs w:val="22"/>
        </w:rPr>
        <w:t xml:space="preserve"> if consent is withdrawn</w:t>
      </w:r>
      <w:r w:rsidR="008E3E25" w:rsidRPr="00085ABB">
        <w:rPr>
          <w:rFonts w:cs="Arial"/>
          <w:bCs/>
          <w:sz w:val="22"/>
          <w:szCs w:val="22"/>
        </w:rPr>
        <w:t xml:space="preserve"> so that </w:t>
      </w:r>
      <w:r w:rsidR="000C71B7">
        <w:rPr>
          <w:rFonts w:cs="Arial"/>
          <w:bCs/>
          <w:sz w:val="22"/>
          <w:szCs w:val="22"/>
        </w:rPr>
        <w:t>Relevant Material</w:t>
      </w:r>
      <w:r w:rsidR="000C71B7" w:rsidRPr="00085ABB">
        <w:rPr>
          <w:rFonts w:cs="Arial"/>
          <w:bCs/>
          <w:sz w:val="22"/>
          <w:szCs w:val="22"/>
        </w:rPr>
        <w:t xml:space="preserve"> </w:t>
      </w:r>
      <w:r w:rsidR="008E3E25" w:rsidRPr="00085ABB">
        <w:rPr>
          <w:rFonts w:cs="Arial"/>
          <w:bCs/>
          <w:sz w:val="22"/>
          <w:szCs w:val="22"/>
        </w:rPr>
        <w:t xml:space="preserve">may be </w:t>
      </w:r>
      <w:proofErr w:type="gramStart"/>
      <w:r w:rsidR="008E3E25" w:rsidRPr="00085ABB">
        <w:rPr>
          <w:rFonts w:cs="Arial"/>
          <w:bCs/>
          <w:sz w:val="22"/>
          <w:szCs w:val="22"/>
        </w:rPr>
        <w:t>destroyed</w:t>
      </w:r>
      <w:r>
        <w:rPr>
          <w:rFonts w:cs="Arial"/>
          <w:bCs/>
          <w:sz w:val="22"/>
          <w:szCs w:val="22"/>
        </w:rPr>
        <w:t>;</w:t>
      </w:r>
      <w:proofErr w:type="gramEnd"/>
    </w:p>
    <w:p w14:paraId="5DC5F0C5" w14:textId="78E2CF89" w:rsidR="008E3E25" w:rsidRPr="00085ABB" w:rsidRDefault="00085ABB" w:rsidP="00085ABB">
      <w:pPr>
        <w:pStyle w:val="ListParagraph"/>
        <w:numPr>
          <w:ilvl w:val="0"/>
          <w:numId w:val="56"/>
        </w:numPr>
        <w:jc w:val="both"/>
        <w:rPr>
          <w:rFonts w:cs="Arial"/>
          <w:bCs/>
          <w:sz w:val="22"/>
          <w:szCs w:val="22"/>
        </w:rPr>
      </w:pPr>
      <w:r>
        <w:rPr>
          <w:rFonts w:cs="Arial"/>
          <w:bCs/>
          <w:sz w:val="22"/>
          <w:szCs w:val="22"/>
        </w:rPr>
        <w:t>a</w:t>
      </w:r>
      <w:r w:rsidR="008E3E25" w:rsidRPr="00085ABB">
        <w:rPr>
          <w:rFonts w:cs="Arial"/>
          <w:bCs/>
          <w:sz w:val="22"/>
          <w:szCs w:val="22"/>
        </w:rPr>
        <w:t>ssurance that consent forms will be made available</w:t>
      </w:r>
      <w:r w:rsidR="00E20C8F">
        <w:rPr>
          <w:rFonts w:cs="Arial"/>
          <w:bCs/>
          <w:sz w:val="22"/>
          <w:szCs w:val="22"/>
        </w:rPr>
        <w:t>, at individual level consent (paper or electronic),</w:t>
      </w:r>
      <w:r w:rsidR="008E3E25" w:rsidRPr="00085ABB">
        <w:rPr>
          <w:rFonts w:cs="Arial"/>
          <w:bCs/>
          <w:sz w:val="22"/>
          <w:szCs w:val="22"/>
        </w:rPr>
        <w:t xml:space="preserve"> in the event of a HTA </w:t>
      </w:r>
      <w:proofErr w:type="gramStart"/>
      <w:r w:rsidR="008E3E25" w:rsidRPr="00085ABB">
        <w:rPr>
          <w:rFonts w:cs="Arial"/>
          <w:bCs/>
          <w:sz w:val="22"/>
          <w:szCs w:val="22"/>
        </w:rPr>
        <w:t>inspection</w:t>
      </w:r>
      <w:r w:rsidR="00725795">
        <w:rPr>
          <w:rFonts w:cs="Arial"/>
          <w:bCs/>
          <w:sz w:val="22"/>
          <w:szCs w:val="22"/>
        </w:rPr>
        <w:t>;</w:t>
      </w:r>
      <w:proofErr w:type="gramEnd"/>
    </w:p>
    <w:p w14:paraId="7FF0D0CA" w14:textId="085EFB4B" w:rsidR="00D064DF" w:rsidRDefault="001C7819" w:rsidP="001C7819">
      <w:pPr>
        <w:jc w:val="both"/>
        <w:rPr>
          <w:rFonts w:ascii="Arial" w:hAnsi="Arial" w:cs="Arial"/>
          <w:bCs/>
          <w:sz w:val="22"/>
          <w:szCs w:val="22"/>
        </w:rPr>
      </w:pPr>
      <w:r>
        <w:rPr>
          <w:rFonts w:ascii="Arial" w:hAnsi="Arial" w:cs="Arial"/>
          <w:bCs/>
          <w:sz w:val="22"/>
          <w:szCs w:val="22"/>
        </w:rPr>
        <w:t>In the case of external parties this confirmation would be in the form of a Material Transfer Agreement</w:t>
      </w:r>
      <w:r w:rsidR="008157DD">
        <w:rPr>
          <w:rFonts w:ascii="Arial" w:hAnsi="Arial" w:cs="Arial"/>
          <w:bCs/>
          <w:sz w:val="22"/>
          <w:szCs w:val="22"/>
        </w:rPr>
        <w:t xml:space="preserve"> or other appropriate contractual arrangement.</w:t>
      </w:r>
    </w:p>
    <w:p w14:paraId="3EDB2711" w14:textId="78768134" w:rsidR="005E2476" w:rsidRDefault="005E2476" w:rsidP="001C7819">
      <w:pPr>
        <w:jc w:val="both"/>
        <w:rPr>
          <w:rFonts w:ascii="Arial" w:hAnsi="Arial" w:cs="Arial"/>
          <w:bCs/>
          <w:sz w:val="22"/>
          <w:szCs w:val="22"/>
        </w:rPr>
      </w:pPr>
    </w:p>
    <w:p w14:paraId="05FE9528" w14:textId="1FDCD7E7" w:rsidR="005E2476" w:rsidRDefault="005E2476" w:rsidP="001C7819">
      <w:pPr>
        <w:jc w:val="both"/>
        <w:rPr>
          <w:rFonts w:ascii="Arial" w:hAnsi="Arial" w:cs="Arial"/>
          <w:sz w:val="22"/>
          <w:szCs w:val="22"/>
        </w:rPr>
      </w:pPr>
      <w:r>
        <w:rPr>
          <w:rFonts w:ascii="Arial" w:hAnsi="Arial" w:cs="Arial"/>
          <w:bCs/>
          <w:sz w:val="22"/>
          <w:szCs w:val="22"/>
        </w:rPr>
        <w:t xml:space="preserve">c. the transfer of </w:t>
      </w:r>
      <w:r>
        <w:rPr>
          <w:rFonts w:ascii="Arial" w:hAnsi="Arial" w:cs="Arial"/>
          <w:sz w:val="22"/>
          <w:szCs w:val="22"/>
        </w:rPr>
        <w:t xml:space="preserve">samples onto a University HTA licence that </w:t>
      </w:r>
      <w:proofErr w:type="gramStart"/>
      <w:r>
        <w:rPr>
          <w:rFonts w:ascii="Arial" w:hAnsi="Arial" w:cs="Arial"/>
          <w:sz w:val="22"/>
          <w:szCs w:val="22"/>
        </w:rPr>
        <w:t>are considered to be</w:t>
      </w:r>
      <w:proofErr w:type="gramEnd"/>
      <w:r>
        <w:rPr>
          <w:rFonts w:ascii="Arial" w:hAnsi="Arial" w:cs="Arial"/>
          <w:sz w:val="22"/>
          <w:szCs w:val="22"/>
        </w:rPr>
        <w:t xml:space="preserve"> an ‘existing holding’ should be discussed with the Research and Human Tissue Manager to ensure appropriate consenting arrangements are documented. </w:t>
      </w:r>
    </w:p>
    <w:p w14:paraId="7AC3BD0F" w14:textId="77777777" w:rsidR="005E2476" w:rsidRDefault="005E2476" w:rsidP="001C7819">
      <w:pPr>
        <w:jc w:val="both"/>
        <w:rPr>
          <w:rFonts w:ascii="Arial" w:hAnsi="Arial" w:cs="Arial"/>
          <w:sz w:val="22"/>
          <w:szCs w:val="22"/>
        </w:rPr>
      </w:pPr>
    </w:p>
    <w:p w14:paraId="3C2F01CE" w14:textId="4DD03DA8" w:rsidR="00D14DFC" w:rsidRDefault="005E2476" w:rsidP="0043202A">
      <w:pPr>
        <w:jc w:val="both"/>
        <w:rPr>
          <w:rFonts w:ascii="Arial" w:hAnsi="Arial" w:cs="Arial"/>
          <w:bCs/>
          <w:sz w:val="22"/>
          <w:szCs w:val="22"/>
        </w:rPr>
      </w:pPr>
      <w:r>
        <w:rPr>
          <w:rFonts w:ascii="Arial" w:hAnsi="Arial" w:cs="Arial"/>
          <w:sz w:val="22"/>
          <w:szCs w:val="22"/>
        </w:rPr>
        <w:t xml:space="preserve">An ‘existing holding’ is Relevant Material </w:t>
      </w:r>
      <w:r w:rsidRPr="00952930">
        <w:rPr>
          <w:rFonts w:ascii="Arial" w:hAnsi="Arial" w:cs="Arial"/>
          <w:sz w:val="22"/>
          <w:szCs w:val="22"/>
        </w:rPr>
        <w:t>from</w:t>
      </w:r>
      <w:r>
        <w:rPr>
          <w:rFonts w:ascii="Arial" w:hAnsi="Arial" w:cs="Arial"/>
          <w:sz w:val="22"/>
          <w:szCs w:val="22"/>
        </w:rPr>
        <w:t xml:space="preserve"> </w:t>
      </w:r>
      <w:r w:rsidRPr="00952930">
        <w:rPr>
          <w:rFonts w:ascii="Arial" w:hAnsi="Arial" w:cs="Arial"/>
          <w:sz w:val="22"/>
          <w:szCs w:val="22"/>
        </w:rPr>
        <w:t>the living or deceased that was already held at the time the HT Act came into</w:t>
      </w:r>
      <w:r>
        <w:rPr>
          <w:rFonts w:ascii="Arial" w:hAnsi="Arial" w:cs="Arial"/>
          <w:sz w:val="22"/>
          <w:szCs w:val="22"/>
        </w:rPr>
        <w:t xml:space="preserve"> </w:t>
      </w:r>
      <w:r w:rsidRPr="00952930">
        <w:rPr>
          <w:rFonts w:ascii="Arial" w:hAnsi="Arial" w:cs="Arial"/>
          <w:sz w:val="22"/>
          <w:szCs w:val="22"/>
        </w:rPr>
        <w:t>force on 1 September 2006.</w:t>
      </w:r>
      <w:r w:rsidRPr="00952930">
        <w:rPr>
          <w:rFonts w:ascii="Arial" w:hAnsi="Arial" w:cs="Arial"/>
          <w:sz w:val="22"/>
          <w:szCs w:val="22"/>
        </w:rPr>
        <w:cr/>
      </w:r>
    </w:p>
    <w:p w14:paraId="6E3010CE" w14:textId="138C84B4" w:rsidR="00B52CFD" w:rsidRPr="003841B1" w:rsidRDefault="00B52CFD" w:rsidP="0043202A">
      <w:pPr>
        <w:jc w:val="both"/>
        <w:rPr>
          <w:rFonts w:ascii="Arial" w:hAnsi="Arial" w:cs="Arial"/>
          <w:sz w:val="22"/>
          <w:szCs w:val="22"/>
        </w:rPr>
      </w:pPr>
      <w:r w:rsidRPr="003841B1">
        <w:rPr>
          <w:rFonts w:ascii="Arial" w:hAnsi="Arial" w:cs="Arial"/>
          <w:bCs/>
          <w:sz w:val="22"/>
          <w:szCs w:val="22"/>
        </w:rPr>
        <w:t xml:space="preserve">A record of the </w:t>
      </w:r>
      <w:r w:rsidRPr="003841B1">
        <w:rPr>
          <w:rFonts w:ascii="Arial" w:hAnsi="Arial" w:cs="Arial"/>
          <w:sz w:val="22"/>
          <w:szCs w:val="22"/>
        </w:rPr>
        <w:t>location of the consent forms</w:t>
      </w:r>
      <w:r w:rsidR="00D14DFC">
        <w:rPr>
          <w:rFonts w:ascii="Arial" w:hAnsi="Arial" w:cs="Arial"/>
          <w:sz w:val="22"/>
          <w:szCs w:val="22"/>
        </w:rPr>
        <w:t>/</w:t>
      </w:r>
      <w:r w:rsidR="008C1E51">
        <w:rPr>
          <w:rFonts w:ascii="Arial" w:hAnsi="Arial" w:cs="Arial"/>
          <w:sz w:val="22"/>
          <w:szCs w:val="22"/>
        </w:rPr>
        <w:t xml:space="preserve">documented </w:t>
      </w:r>
      <w:r w:rsidR="00D14DFC">
        <w:rPr>
          <w:rFonts w:ascii="Arial" w:hAnsi="Arial" w:cs="Arial"/>
          <w:sz w:val="22"/>
          <w:szCs w:val="22"/>
        </w:rPr>
        <w:t>assurance of consent</w:t>
      </w:r>
      <w:r w:rsidRPr="003841B1">
        <w:rPr>
          <w:rFonts w:ascii="Arial" w:hAnsi="Arial" w:cs="Arial"/>
          <w:sz w:val="22"/>
          <w:szCs w:val="22"/>
        </w:rPr>
        <w:t xml:space="preserve"> must be kept by the Principal Investigator</w:t>
      </w:r>
      <w:r w:rsidR="0043202A" w:rsidRPr="003841B1">
        <w:rPr>
          <w:rFonts w:ascii="Arial" w:hAnsi="Arial" w:cs="Arial"/>
          <w:sz w:val="22"/>
          <w:szCs w:val="22"/>
        </w:rPr>
        <w:t xml:space="preserve">/Tissue </w:t>
      </w:r>
      <w:r w:rsidR="003841B1" w:rsidRPr="003841B1">
        <w:rPr>
          <w:rFonts w:ascii="Arial" w:hAnsi="Arial" w:cs="Arial"/>
          <w:sz w:val="22"/>
          <w:szCs w:val="22"/>
        </w:rPr>
        <w:t>B</w:t>
      </w:r>
      <w:r w:rsidR="0043202A" w:rsidRPr="003841B1">
        <w:rPr>
          <w:rFonts w:ascii="Arial" w:hAnsi="Arial" w:cs="Arial"/>
          <w:sz w:val="22"/>
          <w:szCs w:val="22"/>
        </w:rPr>
        <w:t xml:space="preserve">ank </w:t>
      </w:r>
      <w:r w:rsidR="003841B1" w:rsidRPr="003841B1">
        <w:rPr>
          <w:rFonts w:ascii="Arial" w:hAnsi="Arial" w:cs="Arial"/>
          <w:sz w:val="22"/>
          <w:szCs w:val="22"/>
        </w:rPr>
        <w:t>M</w:t>
      </w:r>
      <w:r w:rsidR="0043202A" w:rsidRPr="003841B1">
        <w:rPr>
          <w:rFonts w:ascii="Arial" w:hAnsi="Arial" w:cs="Arial"/>
          <w:sz w:val="22"/>
          <w:szCs w:val="22"/>
        </w:rPr>
        <w:t>anager</w:t>
      </w:r>
      <w:r w:rsidRPr="003841B1">
        <w:rPr>
          <w:rFonts w:ascii="Arial" w:hAnsi="Arial" w:cs="Arial"/>
          <w:sz w:val="22"/>
          <w:szCs w:val="22"/>
        </w:rPr>
        <w:t xml:space="preserve"> and they must be made available to the DI, Research Governance Team, monitors and/or regulators on request.</w:t>
      </w:r>
    </w:p>
    <w:p w14:paraId="4501B269" w14:textId="77777777" w:rsidR="00B52CFD" w:rsidRDefault="00B52CFD" w:rsidP="00B52CFD">
      <w:pPr>
        <w:jc w:val="both"/>
        <w:rPr>
          <w:rFonts w:ascii="Arial" w:hAnsi="Arial" w:cs="Arial"/>
          <w:sz w:val="22"/>
          <w:szCs w:val="22"/>
        </w:rPr>
      </w:pPr>
    </w:p>
    <w:p w14:paraId="6D263E7C" w14:textId="4A4AF043" w:rsidR="00EE73E8" w:rsidRDefault="00EE73E8" w:rsidP="00B33F0F">
      <w:pPr>
        <w:numPr>
          <w:ilvl w:val="0"/>
          <w:numId w:val="33"/>
        </w:numPr>
        <w:rPr>
          <w:rFonts w:ascii="Arial" w:hAnsi="Arial" w:cs="Arial"/>
          <w:b/>
        </w:rPr>
      </w:pPr>
      <w:r>
        <w:rPr>
          <w:rFonts w:ascii="Arial" w:hAnsi="Arial" w:cs="Arial"/>
          <w:b/>
        </w:rPr>
        <w:t>Governance and Quality</w:t>
      </w:r>
      <w:r w:rsidR="0086569F">
        <w:rPr>
          <w:rFonts w:ascii="Arial" w:hAnsi="Arial" w:cs="Arial"/>
          <w:b/>
        </w:rPr>
        <w:t xml:space="preserve"> Systems</w:t>
      </w:r>
    </w:p>
    <w:p w14:paraId="6F37FACD" w14:textId="77777777" w:rsidR="00EE73E8" w:rsidRDefault="00EE73E8" w:rsidP="00EE73E8">
      <w:pPr>
        <w:rPr>
          <w:rFonts w:ascii="Arial" w:hAnsi="Arial" w:cs="Arial"/>
          <w:b/>
        </w:rPr>
      </w:pPr>
    </w:p>
    <w:p w14:paraId="519D9012" w14:textId="00E61C95" w:rsidR="00EE73E8" w:rsidRDefault="00526861" w:rsidP="004D7D40">
      <w:pPr>
        <w:autoSpaceDE w:val="0"/>
        <w:autoSpaceDN w:val="0"/>
        <w:adjustRightInd w:val="0"/>
        <w:jc w:val="both"/>
        <w:rPr>
          <w:rFonts w:ascii="Arial" w:hAnsi="Arial" w:cs="Arial"/>
          <w:sz w:val="22"/>
          <w:szCs w:val="22"/>
        </w:rPr>
      </w:pPr>
      <w:r w:rsidRPr="00882320">
        <w:rPr>
          <w:rFonts w:ascii="Arial" w:hAnsi="Arial" w:cs="Arial"/>
          <w:sz w:val="22"/>
          <w:szCs w:val="22"/>
          <w:lang w:eastAsia="en-GB"/>
        </w:rPr>
        <w:t xml:space="preserve">It is essential </w:t>
      </w:r>
      <w:r w:rsidR="00DE04B7" w:rsidRPr="00882320">
        <w:rPr>
          <w:rFonts w:ascii="Arial" w:hAnsi="Arial" w:cs="Arial"/>
          <w:sz w:val="22"/>
          <w:szCs w:val="22"/>
          <w:lang w:eastAsia="en-GB"/>
        </w:rPr>
        <w:t xml:space="preserve">to demonstrate that there </w:t>
      </w:r>
      <w:r w:rsidRPr="00882320">
        <w:rPr>
          <w:rFonts w:ascii="Arial" w:hAnsi="Arial" w:cs="Arial"/>
          <w:sz w:val="22"/>
          <w:szCs w:val="22"/>
          <w:lang w:eastAsia="en-GB"/>
        </w:rPr>
        <w:t>i</w:t>
      </w:r>
      <w:r w:rsidR="00DE04B7" w:rsidRPr="00882320">
        <w:rPr>
          <w:rFonts w:ascii="Arial" w:hAnsi="Arial" w:cs="Arial"/>
          <w:sz w:val="22"/>
          <w:szCs w:val="22"/>
          <w:lang w:eastAsia="en-GB"/>
        </w:rPr>
        <w:t>s a suitable governance framework, underpinned by clear and controlled documentation, effective audit, staff trainin</w:t>
      </w:r>
      <w:r w:rsidR="00A45637" w:rsidRPr="00882320">
        <w:rPr>
          <w:rFonts w:ascii="Arial" w:hAnsi="Arial" w:cs="Arial"/>
          <w:sz w:val="22"/>
          <w:szCs w:val="22"/>
          <w:lang w:eastAsia="en-GB"/>
        </w:rPr>
        <w:t xml:space="preserve">g and organised record-keeping including </w:t>
      </w:r>
      <w:r w:rsidR="00DE04B7" w:rsidRPr="00882320">
        <w:rPr>
          <w:rFonts w:ascii="Arial" w:hAnsi="Arial" w:cs="Arial"/>
          <w:sz w:val="22"/>
          <w:szCs w:val="22"/>
          <w:lang w:eastAsia="en-GB"/>
        </w:rPr>
        <w:t>an effective system of risk management and suitable</w:t>
      </w:r>
      <w:r w:rsidR="00A45637" w:rsidRPr="00882320">
        <w:rPr>
          <w:rFonts w:ascii="Arial" w:hAnsi="Arial" w:cs="Arial"/>
          <w:sz w:val="22"/>
          <w:szCs w:val="22"/>
          <w:lang w:eastAsia="en-GB"/>
        </w:rPr>
        <w:t xml:space="preserve"> </w:t>
      </w:r>
      <w:r w:rsidR="00DE04B7" w:rsidRPr="00882320">
        <w:rPr>
          <w:rFonts w:ascii="Arial" w:hAnsi="Arial" w:cs="Arial"/>
          <w:sz w:val="22"/>
          <w:szCs w:val="22"/>
          <w:lang w:eastAsia="en-GB"/>
        </w:rPr>
        <w:t>systems to deal with adverse events.</w:t>
      </w:r>
      <w:r w:rsidR="00A45637" w:rsidRPr="00882320">
        <w:rPr>
          <w:rFonts w:ascii="Arial" w:hAnsi="Arial" w:cs="Arial"/>
          <w:sz w:val="22"/>
          <w:szCs w:val="22"/>
          <w:lang w:eastAsia="en-GB"/>
        </w:rPr>
        <w:t xml:space="preserve"> </w:t>
      </w:r>
      <w:r w:rsidR="00EE73E8" w:rsidRPr="00882320">
        <w:rPr>
          <w:rFonts w:ascii="Arial" w:hAnsi="Arial" w:cs="Arial"/>
          <w:sz w:val="22"/>
          <w:szCs w:val="22"/>
        </w:rPr>
        <w:t>E</w:t>
      </w:r>
      <w:r w:rsidR="00EE73E8">
        <w:rPr>
          <w:rFonts w:ascii="Arial" w:hAnsi="Arial" w:cs="Arial"/>
          <w:sz w:val="22"/>
          <w:szCs w:val="22"/>
        </w:rPr>
        <w:t xml:space="preserve">ach </w:t>
      </w:r>
      <w:r w:rsidR="00150FB1">
        <w:rPr>
          <w:rFonts w:ascii="Arial" w:hAnsi="Arial" w:cs="Arial"/>
          <w:sz w:val="22"/>
          <w:szCs w:val="22"/>
        </w:rPr>
        <w:t>L</w:t>
      </w:r>
      <w:r w:rsidR="00EE73E8">
        <w:rPr>
          <w:rFonts w:ascii="Arial" w:hAnsi="Arial" w:cs="Arial"/>
          <w:sz w:val="22"/>
          <w:szCs w:val="22"/>
        </w:rPr>
        <w:t>icence must work within a defined quality system.</w:t>
      </w:r>
    </w:p>
    <w:p w14:paraId="24ACD749" w14:textId="77777777" w:rsidR="00EE73E8" w:rsidRDefault="00EE73E8" w:rsidP="00EE73E8">
      <w:pPr>
        <w:rPr>
          <w:rFonts w:ascii="Arial" w:hAnsi="Arial" w:cs="Arial"/>
          <w:b/>
        </w:rPr>
      </w:pPr>
    </w:p>
    <w:p w14:paraId="46EC1178" w14:textId="5B17981A" w:rsidR="00EE73E8" w:rsidRPr="006412BD" w:rsidRDefault="00EE73E8" w:rsidP="00EE73E8">
      <w:pPr>
        <w:pStyle w:val="ListParagraph"/>
        <w:numPr>
          <w:ilvl w:val="0"/>
          <w:numId w:val="34"/>
        </w:numPr>
        <w:rPr>
          <w:rFonts w:cs="Arial"/>
          <w:b/>
        </w:rPr>
      </w:pPr>
      <w:r w:rsidRPr="006412BD">
        <w:rPr>
          <w:rFonts w:cs="Arial"/>
          <w:b/>
        </w:rPr>
        <w:t>Documentation required for the quality system</w:t>
      </w:r>
    </w:p>
    <w:p w14:paraId="696703B4" w14:textId="653DDF97" w:rsidR="00EE73E8" w:rsidRDefault="00EE73E8" w:rsidP="00EE73E8">
      <w:pPr>
        <w:jc w:val="both"/>
        <w:rPr>
          <w:rFonts w:ascii="Arial" w:hAnsi="Arial" w:cs="Arial"/>
          <w:iCs/>
          <w:sz w:val="22"/>
          <w:szCs w:val="22"/>
        </w:rPr>
      </w:pPr>
      <w:r>
        <w:rPr>
          <w:rFonts w:ascii="Arial" w:hAnsi="Arial" w:cs="Arial"/>
          <w:sz w:val="22"/>
          <w:szCs w:val="22"/>
        </w:rPr>
        <w:t xml:space="preserve">The HTA require the recording of policies and procedures </w:t>
      </w:r>
      <w:r>
        <w:rPr>
          <w:rFonts w:ascii="Arial" w:hAnsi="Arial" w:cs="Arial"/>
          <w:iCs/>
          <w:sz w:val="22"/>
          <w:szCs w:val="22"/>
        </w:rPr>
        <w:t>in a Quality Manual which must be identified by version number and managed by a document control system.</w:t>
      </w:r>
    </w:p>
    <w:p w14:paraId="30060BCC" w14:textId="77777777" w:rsidR="00EE73E8" w:rsidRDefault="00EE73E8" w:rsidP="00EE73E8">
      <w:pPr>
        <w:jc w:val="both"/>
        <w:rPr>
          <w:rFonts w:ascii="Arial" w:hAnsi="Arial" w:cs="Arial"/>
          <w:bCs/>
          <w:sz w:val="22"/>
          <w:szCs w:val="22"/>
        </w:rPr>
      </w:pPr>
    </w:p>
    <w:p w14:paraId="7045F584" w14:textId="7EC2A33C" w:rsidR="00163F93" w:rsidRDefault="00EB4083" w:rsidP="00306E20">
      <w:pPr>
        <w:jc w:val="both"/>
        <w:rPr>
          <w:rFonts w:ascii="Arial" w:hAnsi="Arial" w:cs="Arial"/>
          <w:sz w:val="22"/>
          <w:szCs w:val="22"/>
          <w:lang w:eastAsia="en-GB"/>
        </w:rPr>
      </w:pPr>
      <w:r>
        <w:rPr>
          <w:rFonts w:ascii="Arial" w:hAnsi="Arial" w:cs="Arial"/>
          <w:bCs/>
          <w:sz w:val="22"/>
          <w:szCs w:val="22"/>
        </w:rPr>
        <w:t xml:space="preserve">HTA guidance for sector specific requirements is available </w:t>
      </w:r>
      <w:r w:rsidR="00306E20">
        <w:rPr>
          <w:rFonts w:ascii="Arial" w:hAnsi="Arial" w:cs="Arial"/>
          <w:sz w:val="22"/>
          <w:szCs w:val="22"/>
          <w:lang w:eastAsia="en-GB"/>
        </w:rPr>
        <w:t xml:space="preserve">in the </w:t>
      </w:r>
      <w:hyperlink r:id="rId28" w:history="1">
        <w:r w:rsidR="00306E20" w:rsidRPr="00306E20">
          <w:rPr>
            <w:rStyle w:val="Hyperlink"/>
            <w:rFonts w:ascii="Arial" w:hAnsi="Arial" w:cs="Arial"/>
            <w:sz w:val="22"/>
            <w:szCs w:val="22"/>
            <w:lang w:eastAsia="en-GB"/>
          </w:rPr>
          <w:t>rele</w:t>
        </w:r>
        <w:r w:rsidR="00306E20" w:rsidRPr="00306E20">
          <w:rPr>
            <w:rStyle w:val="Hyperlink"/>
            <w:rFonts w:ascii="Arial" w:hAnsi="Arial" w:cs="Arial"/>
            <w:sz w:val="22"/>
            <w:szCs w:val="22"/>
            <w:lang w:eastAsia="en-GB"/>
          </w:rPr>
          <w:t>v</w:t>
        </w:r>
        <w:r w:rsidR="00306E20" w:rsidRPr="00306E20">
          <w:rPr>
            <w:rStyle w:val="Hyperlink"/>
            <w:rFonts w:ascii="Arial" w:hAnsi="Arial" w:cs="Arial"/>
            <w:sz w:val="22"/>
            <w:szCs w:val="22"/>
            <w:lang w:eastAsia="en-GB"/>
          </w:rPr>
          <w:t>ant HTA standards and guidance</w:t>
        </w:r>
      </w:hyperlink>
      <w:r w:rsidR="00306E20">
        <w:rPr>
          <w:rFonts w:ascii="Arial" w:hAnsi="Arial" w:cs="Arial"/>
          <w:sz w:val="22"/>
          <w:szCs w:val="22"/>
          <w:lang w:eastAsia="en-GB"/>
        </w:rPr>
        <w:t>.</w:t>
      </w:r>
    </w:p>
    <w:p w14:paraId="0BFD31DB" w14:textId="77777777" w:rsidR="00892476" w:rsidRDefault="00892476" w:rsidP="00306E20">
      <w:pPr>
        <w:jc w:val="both"/>
        <w:rPr>
          <w:rFonts w:ascii="Arial" w:hAnsi="Arial" w:cs="Arial"/>
          <w:bCs/>
          <w:sz w:val="22"/>
          <w:szCs w:val="22"/>
        </w:rPr>
      </w:pPr>
    </w:p>
    <w:p w14:paraId="72FF712A" w14:textId="6BC606C2" w:rsidR="00EE73E8" w:rsidRDefault="00EE73E8" w:rsidP="00EE73E8">
      <w:pPr>
        <w:jc w:val="both"/>
        <w:rPr>
          <w:rFonts w:ascii="Arial" w:hAnsi="Arial" w:cs="Arial"/>
          <w:bCs/>
          <w:sz w:val="22"/>
          <w:szCs w:val="22"/>
        </w:rPr>
      </w:pPr>
      <w:r>
        <w:rPr>
          <w:rFonts w:ascii="Arial" w:hAnsi="Arial" w:cs="Arial"/>
          <w:bCs/>
          <w:sz w:val="22"/>
          <w:szCs w:val="22"/>
        </w:rPr>
        <w:t xml:space="preserve">The Quality Manual should </w:t>
      </w:r>
      <w:r w:rsidR="00516112">
        <w:rPr>
          <w:rFonts w:ascii="Arial" w:hAnsi="Arial" w:cs="Arial"/>
          <w:bCs/>
          <w:sz w:val="22"/>
          <w:szCs w:val="22"/>
        </w:rPr>
        <w:t>contain the documents necessary to demonstrate compliance with</w:t>
      </w:r>
      <w:r w:rsidR="00C478FB">
        <w:rPr>
          <w:rFonts w:ascii="Arial" w:hAnsi="Arial" w:cs="Arial"/>
          <w:bCs/>
          <w:sz w:val="22"/>
          <w:szCs w:val="22"/>
        </w:rPr>
        <w:t xml:space="preserve"> the relevant standards and </w:t>
      </w:r>
      <w:r>
        <w:rPr>
          <w:rFonts w:ascii="Arial" w:hAnsi="Arial" w:cs="Arial"/>
          <w:bCs/>
          <w:sz w:val="22"/>
          <w:szCs w:val="22"/>
        </w:rPr>
        <w:t>include</w:t>
      </w:r>
      <w:r w:rsidR="00C478FB">
        <w:rPr>
          <w:rFonts w:ascii="Arial" w:hAnsi="Arial" w:cs="Arial"/>
          <w:bCs/>
          <w:sz w:val="22"/>
          <w:szCs w:val="22"/>
        </w:rPr>
        <w:t>, but not</w:t>
      </w:r>
      <w:r w:rsidR="008C1E51">
        <w:rPr>
          <w:rFonts w:ascii="Arial" w:hAnsi="Arial" w:cs="Arial"/>
          <w:bCs/>
          <w:sz w:val="22"/>
          <w:szCs w:val="22"/>
        </w:rPr>
        <w:t xml:space="preserve"> be</w:t>
      </w:r>
      <w:r w:rsidR="00C478FB">
        <w:rPr>
          <w:rFonts w:ascii="Arial" w:hAnsi="Arial" w:cs="Arial"/>
          <w:bCs/>
          <w:sz w:val="22"/>
          <w:szCs w:val="22"/>
        </w:rPr>
        <w:t xml:space="preserve"> limited to,</w:t>
      </w:r>
      <w:r>
        <w:rPr>
          <w:rFonts w:ascii="Arial" w:hAnsi="Arial" w:cs="Arial"/>
          <w:bCs/>
          <w:sz w:val="22"/>
          <w:szCs w:val="22"/>
        </w:rPr>
        <w:t xml:space="preserve"> the following: </w:t>
      </w:r>
    </w:p>
    <w:p w14:paraId="27D526C7" w14:textId="77777777" w:rsidR="00EB4083" w:rsidRDefault="00EB4083" w:rsidP="00EE73E8">
      <w:pPr>
        <w:jc w:val="both"/>
        <w:rPr>
          <w:rFonts w:ascii="Arial" w:hAnsi="Arial" w:cs="Arial"/>
          <w:bCs/>
          <w:i/>
          <w:iCs/>
          <w:sz w:val="22"/>
          <w:szCs w:val="22"/>
        </w:rPr>
      </w:pPr>
    </w:p>
    <w:p w14:paraId="4CA55337" w14:textId="77777777" w:rsidR="00EE73E8" w:rsidRDefault="00EE73E8" w:rsidP="00EE73E8">
      <w:pPr>
        <w:numPr>
          <w:ilvl w:val="0"/>
          <w:numId w:val="8"/>
        </w:numPr>
        <w:jc w:val="both"/>
        <w:rPr>
          <w:rFonts w:ascii="Arial" w:hAnsi="Arial" w:cs="Arial"/>
          <w:sz w:val="22"/>
          <w:szCs w:val="22"/>
          <w:lang w:val="en-US"/>
        </w:rPr>
      </w:pPr>
      <w:proofErr w:type="spellStart"/>
      <w:r>
        <w:rPr>
          <w:rFonts w:ascii="Arial" w:hAnsi="Arial" w:cs="Arial"/>
          <w:sz w:val="22"/>
          <w:szCs w:val="22"/>
          <w:lang w:val="en-US"/>
        </w:rPr>
        <w:t>Organisation</w:t>
      </w:r>
      <w:proofErr w:type="spellEnd"/>
      <w:r>
        <w:rPr>
          <w:rFonts w:ascii="Arial" w:hAnsi="Arial" w:cs="Arial"/>
          <w:sz w:val="22"/>
          <w:szCs w:val="22"/>
          <w:lang w:val="en-US"/>
        </w:rPr>
        <w:t xml:space="preserve"> chart listing staff roles and line management structure</w:t>
      </w:r>
    </w:p>
    <w:p w14:paraId="0DF349DD" w14:textId="77CC77F9" w:rsidR="007A5632" w:rsidRDefault="007A5632" w:rsidP="00EE73E8">
      <w:pPr>
        <w:numPr>
          <w:ilvl w:val="0"/>
          <w:numId w:val="8"/>
        </w:numPr>
        <w:jc w:val="both"/>
        <w:rPr>
          <w:rFonts w:ascii="Arial" w:hAnsi="Arial" w:cs="Arial"/>
          <w:sz w:val="22"/>
          <w:szCs w:val="22"/>
          <w:lang w:val="en-US"/>
        </w:rPr>
      </w:pPr>
      <w:r>
        <w:rPr>
          <w:rFonts w:ascii="Arial" w:hAnsi="Arial" w:cs="Arial"/>
          <w:sz w:val="22"/>
          <w:szCs w:val="22"/>
          <w:lang w:val="en-US"/>
        </w:rPr>
        <w:t>Internal audit schedules and audit reports</w:t>
      </w:r>
      <w:r w:rsidR="007333E2">
        <w:rPr>
          <w:rFonts w:ascii="Arial" w:hAnsi="Arial" w:cs="Arial"/>
          <w:sz w:val="22"/>
          <w:szCs w:val="22"/>
          <w:lang w:val="en-US"/>
        </w:rPr>
        <w:t xml:space="preserve"> </w:t>
      </w:r>
    </w:p>
    <w:p w14:paraId="7D7641AA" w14:textId="49654B5F" w:rsidR="00EE73E8" w:rsidRDefault="00EE73E8" w:rsidP="00EE73E8">
      <w:pPr>
        <w:numPr>
          <w:ilvl w:val="0"/>
          <w:numId w:val="8"/>
        </w:numPr>
        <w:jc w:val="both"/>
        <w:rPr>
          <w:rFonts w:ascii="Arial" w:hAnsi="Arial" w:cs="Arial"/>
          <w:sz w:val="22"/>
          <w:szCs w:val="22"/>
          <w:lang w:val="en-US"/>
        </w:rPr>
      </w:pPr>
      <w:r>
        <w:rPr>
          <w:rFonts w:ascii="Arial" w:hAnsi="Arial" w:cs="Arial"/>
          <w:sz w:val="22"/>
          <w:szCs w:val="22"/>
          <w:lang w:val="en-US"/>
        </w:rPr>
        <w:lastRenderedPageBreak/>
        <w:t>Policies (</w:t>
      </w:r>
      <w:proofErr w:type="gramStart"/>
      <w:r>
        <w:rPr>
          <w:rFonts w:ascii="Arial" w:hAnsi="Arial" w:cs="Arial"/>
          <w:sz w:val="22"/>
          <w:szCs w:val="22"/>
          <w:lang w:val="en-US"/>
        </w:rPr>
        <w:t>e.g.</w:t>
      </w:r>
      <w:proofErr w:type="gramEnd"/>
      <w:r>
        <w:rPr>
          <w:rFonts w:ascii="Arial" w:hAnsi="Arial" w:cs="Arial"/>
          <w:sz w:val="22"/>
          <w:szCs w:val="22"/>
          <w:lang w:val="en-US"/>
        </w:rPr>
        <w:t xml:space="preserve"> consent</w:t>
      </w:r>
      <w:r w:rsidR="00D61FC4">
        <w:rPr>
          <w:rFonts w:ascii="Arial" w:hAnsi="Arial" w:cs="Arial"/>
          <w:sz w:val="22"/>
          <w:szCs w:val="22"/>
          <w:lang w:val="en-US"/>
        </w:rPr>
        <w:t xml:space="preserve"> incl. consent documentation</w:t>
      </w:r>
      <w:r>
        <w:rPr>
          <w:rFonts w:ascii="Arial" w:hAnsi="Arial" w:cs="Arial"/>
          <w:sz w:val="22"/>
          <w:szCs w:val="22"/>
          <w:lang w:val="en-US"/>
        </w:rPr>
        <w:t xml:space="preserve">, </w:t>
      </w:r>
      <w:r w:rsidR="00D61FC4">
        <w:rPr>
          <w:rFonts w:ascii="Arial" w:hAnsi="Arial" w:cs="Arial"/>
          <w:sz w:val="22"/>
          <w:szCs w:val="22"/>
          <w:lang w:val="en-US"/>
        </w:rPr>
        <w:t xml:space="preserve">H+S, </w:t>
      </w:r>
      <w:r>
        <w:rPr>
          <w:rFonts w:ascii="Arial" w:hAnsi="Arial" w:cs="Arial"/>
          <w:sz w:val="22"/>
          <w:szCs w:val="22"/>
          <w:lang w:val="en-US"/>
        </w:rPr>
        <w:t xml:space="preserve">disposal, ethics, governance, adverse events, complaints) </w:t>
      </w:r>
    </w:p>
    <w:p w14:paraId="46FA6D68" w14:textId="07E9EFCD" w:rsidR="00EE73E8" w:rsidRDefault="00EE73E8" w:rsidP="00EE73E8">
      <w:pPr>
        <w:numPr>
          <w:ilvl w:val="0"/>
          <w:numId w:val="8"/>
        </w:numPr>
        <w:jc w:val="both"/>
        <w:rPr>
          <w:rFonts w:ascii="Arial" w:hAnsi="Arial" w:cs="Arial"/>
          <w:sz w:val="22"/>
          <w:szCs w:val="22"/>
          <w:lang w:val="en-US"/>
        </w:rPr>
      </w:pPr>
      <w:r w:rsidRPr="00EB4083">
        <w:rPr>
          <w:rFonts w:ascii="Arial" w:hAnsi="Arial" w:cs="Arial"/>
          <w:sz w:val="22"/>
          <w:szCs w:val="22"/>
          <w:lang w:val="en-US"/>
        </w:rPr>
        <w:t>Standard Operating Procedures</w:t>
      </w:r>
      <w:r w:rsidR="00210990">
        <w:rPr>
          <w:rFonts w:ascii="Arial" w:hAnsi="Arial" w:cs="Arial"/>
          <w:sz w:val="22"/>
          <w:szCs w:val="22"/>
          <w:lang w:val="en-US"/>
        </w:rPr>
        <w:t xml:space="preserve"> (SOP) </w:t>
      </w:r>
      <w:r w:rsidR="00882320">
        <w:rPr>
          <w:rFonts w:ascii="Arial" w:hAnsi="Arial" w:cs="Arial"/>
          <w:sz w:val="22"/>
          <w:szCs w:val="22"/>
          <w:lang w:val="en-US"/>
        </w:rPr>
        <w:t>including the template to g</w:t>
      </w:r>
      <w:r w:rsidR="00210990">
        <w:rPr>
          <w:rFonts w:ascii="Arial" w:hAnsi="Arial" w:cs="Arial"/>
          <w:sz w:val="22"/>
          <w:szCs w:val="22"/>
          <w:lang w:val="en-US"/>
        </w:rPr>
        <w:t>uide the development of the SOP</w:t>
      </w:r>
      <w:r w:rsidRPr="00EB4083">
        <w:rPr>
          <w:rFonts w:ascii="Arial" w:hAnsi="Arial" w:cs="Arial"/>
          <w:sz w:val="22"/>
          <w:szCs w:val="22"/>
          <w:lang w:val="en-US"/>
        </w:rPr>
        <w:t>,</w:t>
      </w:r>
      <w:r w:rsidR="00210990">
        <w:rPr>
          <w:rFonts w:ascii="Arial" w:hAnsi="Arial" w:cs="Arial"/>
          <w:sz w:val="22"/>
          <w:szCs w:val="22"/>
          <w:lang w:val="en-US"/>
        </w:rPr>
        <w:t xml:space="preserve"> </w:t>
      </w:r>
      <w:r>
        <w:rPr>
          <w:rFonts w:ascii="Arial" w:hAnsi="Arial" w:cs="Arial"/>
          <w:sz w:val="22"/>
          <w:szCs w:val="22"/>
          <w:lang w:val="en-US"/>
        </w:rPr>
        <w:t>Document control and storage of records</w:t>
      </w:r>
      <w:r w:rsidR="00EB4083">
        <w:rPr>
          <w:rFonts w:ascii="Arial" w:hAnsi="Arial" w:cs="Arial"/>
          <w:sz w:val="22"/>
          <w:szCs w:val="22"/>
          <w:lang w:val="en-US"/>
        </w:rPr>
        <w:t xml:space="preserve"> </w:t>
      </w:r>
    </w:p>
    <w:p w14:paraId="10440E51" w14:textId="00A7EBC2" w:rsidR="00EE73E8" w:rsidRDefault="00882320" w:rsidP="00EE73E8">
      <w:pPr>
        <w:numPr>
          <w:ilvl w:val="0"/>
          <w:numId w:val="8"/>
        </w:numPr>
        <w:jc w:val="both"/>
        <w:rPr>
          <w:rFonts w:ascii="Arial" w:hAnsi="Arial" w:cs="Arial"/>
          <w:sz w:val="22"/>
          <w:szCs w:val="22"/>
          <w:lang w:val="en-US"/>
        </w:rPr>
      </w:pPr>
      <w:r>
        <w:rPr>
          <w:rFonts w:ascii="Arial" w:hAnsi="Arial" w:cs="Arial"/>
          <w:sz w:val="22"/>
          <w:szCs w:val="22"/>
          <w:lang w:val="en-US"/>
        </w:rPr>
        <w:t xml:space="preserve">Traceability </w:t>
      </w:r>
      <w:r w:rsidR="00EE73E8">
        <w:rPr>
          <w:rFonts w:ascii="Arial" w:hAnsi="Arial" w:cs="Arial"/>
          <w:sz w:val="22"/>
          <w:szCs w:val="22"/>
          <w:lang w:val="en-US"/>
        </w:rPr>
        <w:t xml:space="preserve">records </w:t>
      </w:r>
      <w:r w:rsidR="007A5632">
        <w:rPr>
          <w:rFonts w:ascii="Arial" w:hAnsi="Arial" w:cs="Arial"/>
          <w:sz w:val="22"/>
          <w:szCs w:val="22"/>
          <w:lang w:val="en-US"/>
        </w:rPr>
        <w:t xml:space="preserve">for </w:t>
      </w:r>
      <w:r>
        <w:rPr>
          <w:rFonts w:ascii="Arial" w:hAnsi="Arial" w:cs="Arial"/>
          <w:sz w:val="22"/>
          <w:szCs w:val="22"/>
          <w:lang w:val="en-US"/>
        </w:rPr>
        <w:t xml:space="preserve">Relevant Material </w:t>
      </w:r>
      <w:r w:rsidR="00210990">
        <w:rPr>
          <w:rFonts w:ascii="Arial" w:hAnsi="Arial" w:cs="Arial"/>
          <w:sz w:val="22"/>
          <w:szCs w:val="22"/>
          <w:lang w:val="en-US"/>
        </w:rPr>
        <w:t xml:space="preserve">including </w:t>
      </w:r>
      <w:r w:rsidR="0037679C">
        <w:rPr>
          <w:rFonts w:ascii="Arial" w:hAnsi="Arial" w:cs="Arial"/>
          <w:sz w:val="22"/>
          <w:szCs w:val="22"/>
          <w:lang w:val="en-US"/>
        </w:rPr>
        <w:t>origin</w:t>
      </w:r>
      <w:r w:rsidR="00210990">
        <w:rPr>
          <w:rFonts w:ascii="Arial" w:hAnsi="Arial" w:cs="Arial"/>
          <w:sz w:val="22"/>
          <w:szCs w:val="22"/>
          <w:lang w:val="en-US"/>
        </w:rPr>
        <w:t xml:space="preserve">, </w:t>
      </w:r>
      <w:r>
        <w:rPr>
          <w:rFonts w:ascii="Arial" w:hAnsi="Arial" w:cs="Arial"/>
          <w:sz w:val="22"/>
          <w:szCs w:val="22"/>
          <w:lang w:val="en-US"/>
        </w:rPr>
        <w:t xml:space="preserve">storage, </w:t>
      </w:r>
      <w:r w:rsidR="00EE73E8">
        <w:rPr>
          <w:rFonts w:ascii="Arial" w:hAnsi="Arial" w:cs="Arial"/>
          <w:sz w:val="22"/>
          <w:szCs w:val="22"/>
          <w:lang w:val="en-US"/>
        </w:rPr>
        <w:t>use</w:t>
      </w:r>
      <w:r w:rsidR="007A5632">
        <w:rPr>
          <w:rFonts w:ascii="Arial" w:hAnsi="Arial" w:cs="Arial"/>
          <w:sz w:val="22"/>
          <w:szCs w:val="22"/>
          <w:lang w:val="en-US"/>
        </w:rPr>
        <w:t xml:space="preserve">, </w:t>
      </w:r>
      <w:proofErr w:type="gramStart"/>
      <w:r w:rsidR="007A5632">
        <w:rPr>
          <w:rFonts w:ascii="Arial" w:hAnsi="Arial" w:cs="Arial"/>
          <w:sz w:val="22"/>
          <w:szCs w:val="22"/>
          <w:lang w:val="en-US"/>
        </w:rPr>
        <w:t>transfer</w:t>
      </w:r>
      <w:proofErr w:type="gramEnd"/>
      <w:r w:rsidR="007A5632">
        <w:rPr>
          <w:rFonts w:ascii="Arial" w:hAnsi="Arial" w:cs="Arial"/>
          <w:sz w:val="22"/>
          <w:szCs w:val="22"/>
          <w:lang w:val="en-US"/>
        </w:rPr>
        <w:t xml:space="preserve"> </w:t>
      </w:r>
      <w:r w:rsidR="00EE73E8">
        <w:rPr>
          <w:rFonts w:ascii="Arial" w:hAnsi="Arial" w:cs="Arial"/>
          <w:sz w:val="22"/>
          <w:szCs w:val="22"/>
          <w:lang w:val="en-US"/>
        </w:rPr>
        <w:t>and dispos</w:t>
      </w:r>
      <w:r w:rsidR="007A5632">
        <w:rPr>
          <w:rFonts w:ascii="Arial" w:hAnsi="Arial" w:cs="Arial"/>
          <w:sz w:val="22"/>
          <w:szCs w:val="22"/>
          <w:lang w:val="en-US"/>
        </w:rPr>
        <w:t>al</w:t>
      </w:r>
    </w:p>
    <w:p w14:paraId="1DE6039B" w14:textId="7DE29073" w:rsidR="00EE73E8" w:rsidRDefault="00D61FC4" w:rsidP="00EE73E8">
      <w:pPr>
        <w:numPr>
          <w:ilvl w:val="0"/>
          <w:numId w:val="8"/>
        </w:numPr>
        <w:jc w:val="both"/>
        <w:rPr>
          <w:rFonts w:ascii="Arial" w:hAnsi="Arial" w:cs="Arial"/>
          <w:sz w:val="22"/>
          <w:szCs w:val="22"/>
          <w:lang w:val="en-US"/>
        </w:rPr>
      </w:pPr>
      <w:r>
        <w:rPr>
          <w:rFonts w:ascii="Arial" w:hAnsi="Arial" w:cs="Arial"/>
          <w:sz w:val="22"/>
          <w:szCs w:val="22"/>
          <w:lang w:val="en-US"/>
        </w:rPr>
        <w:t>J</w:t>
      </w:r>
      <w:r w:rsidR="007A5632">
        <w:rPr>
          <w:rFonts w:ascii="Arial" w:hAnsi="Arial" w:cs="Arial"/>
          <w:sz w:val="22"/>
          <w:szCs w:val="22"/>
          <w:lang w:val="en-US"/>
        </w:rPr>
        <w:t xml:space="preserve">ob descriptions, </w:t>
      </w:r>
      <w:r w:rsidR="008D0F9C">
        <w:rPr>
          <w:rFonts w:ascii="Arial" w:hAnsi="Arial" w:cs="Arial"/>
          <w:sz w:val="22"/>
          <w:szCs w:val="22"/>
          <w:lang w:val="en-US"/>
        </w:rPr>
        <w:t>training</w:t>
      </w:r>
      <w:r w:rsidR="00EE73E8">
        <w:rPr>
          <w:rFonts w:ascii="Arial" w:hAnsi="Arial" w:cs="Arial"/>
          <w:sz w:val="22"/>
          <w:szCs w:val="22"/>
          <w:lang w:val="en-US"/>
        </w:rPr>
        <w:t xml:space="preserve"> records, including induction </w:t>
      </w:r>
      <w:proofErr w:type="spellStart"/>
      <w:r w:rsidR="00EE73E8">
        <w:rPr>
          <w:rFonts w:ascii="Arial" w:hAnsi="Arial" w:cs="Arial"/>
          <w:sz w:val="22"/>
          <w:szCs w:val="22"/>
          <w:lang w:val="en-US"/>
        </w:rPr>
        <w:t>programmes</w:t>
      </w:r>
      <w:proofErr w:type="spellEnd"/>
    </w:p>
    <w:p w14:paraId="57F26E1D" w14:textId="4E095C2B" w:rsidR="00EE73E8" w:rsidRPr="00290E20" w:rsidRDefault="00EE73E8" w:rsidP="00B315F0">
      <w:pPr>
        <w:numPr>
          <w:ilvl w:val="0"/>
          <w:numId w:val="8"/>
        </w:numPr>
        <w:jc w:val="both"/>
        <w:rPr>
          <w:rFonts w:ascii="Arial" w:hAnsi="Arial" w:cs="Arial"/>
          <w:sz w:val="22"/>
          <w:szCs w:val="22"/>
          <w:lang w:val="en-US"/>
        </w:rPr>
      </w:pPr>
      <w:r w:rsidRPr="00B315F0">
        <w:rPr>
          <w:rFonts w:ascii="Arial" w:hAnsi="Arial" w:cs="Arial"/>
          <w:sz w:val="22"/>
          <w:szCs w:val="22"/>
          <w:lang w:val="en-US"/>
        </w:rPr>
        <w:t>Risk assessments</w:t>
      </w:r>
      <w:r w:rsidR="007A5632" w:rsidRPr="00B315F0">
        <w:rPr>
          <w:rFonts w:ascii="Arial" w:hAnsi="Arial" w:cs="Arial"/>
          <w:sz w:val="22"/>
          <w:szCs w:val="22"/>
          <w:lang w:val="en-US"/>
        </w:rPr>
        <w:t xml:space="preserve"> for critical processes</w:t>
      </w:r>
      <w:r w:rsidRPr="00B315F0">
        <w:rPr>
          <w:rFonts w:ascii="Arial" w:hAnsi="Arial" w:cs="Arial"/>
          <w:sz w:val="22"/>
          <w:szCs w:val="22"/>
          <w:lang w:val="en-US"/>
        </w:rPr>
        <w:t xml:space="preserve"> </w:t>
      </w:r>
    </w:p>
    <w:p w14:paraId="0A77418E" w14:textId="77777777" w:rsidR="00EE73E8" w:rsidRDefault="00EE73E8" w:rsidP="00EE73E8">
      <w:pPr>
        <w:numPr>
          <w:ilvl w:val="0"/>
          <w:numId w:val="8"/>
        </w:numPr>
        <w:jc w:val="both"/>
        <w:rPr>
          <w:rFonts w:ascii="Arial" w:hAnsi="Arial" w:cs="Arial"/>
          <w:sz w:val="22"/>
          <w:szCs w:val="22"/>
          <w:lang w:val="en-US"/>
        </w:rPr>
      </w:pPr>
      <w:r>
        <w:rPr>
          <w:rFonts w:ascii="Arial" w:hAnsi="Arial" w:cs="Arial"/>
          <w:sz w:val="22"/>
          <w:szCs w:val="22"/>
          <w:lang w:val="en-US"/>
        </w:rPr>
        <w:t>Adverse events and incidents log</w:t>
      </w:r>
    </w:p>
    <w:p w14:paraId="1C1A9119" w14:textId="77777777" w:rsidR="00EE73E8" w:rsidRDefault="00EE73E8" w:rsidP="00EE73E8">
      <w:pPr>
        <w:numPr>
          <w:ilvl w:val="0"/>
          <w:numId w:val="8"/>
        </w:numPr>
        <w:jc w:val="both"/>
        <w:rPr>
          <w:rFonts w:ascii="Arial" w:hAnsi="Arial" w:cs="Arial"/>
          <w:sz w:val="22"/>
          <w:szCs w:val="22"/>
          <w:lang w:val="en-US"/>
        </w:rPr>
      </w:pPr>
      <w:proofErr w:type="gramStart"/>
      <w:r>
        <w:rPr>
          <w:rFonts w:ascii="Arial" w:hAnsi="Arial" w:cs="Arial"/>
          <w:sz w:val="22"/>
          <w:szCs w:val="22"/>
          <w:lang w:val="en-US"/>
        </w:rPr>
        <w:t>Complaints</w:t>
      </w:r>
      <w:proofErr w:type="gramEnd"/>
      <w:r>
        <w:rPr>
          <w:rFonts w:ascii="Arial" w:hAnsi="Arial" w:cs="Arial"/>
          <w:sz w:val="22"/>
          <w:szCs w:val="22"/>
          <w:lang w:val="en-US"/>
        </w:rPr>
        <w:t xml:space="preserve"> log </w:t>
      </w:r>
    </w:p>
    <w:p w14:paraId="423D1B83" w14:textId="77777777" w:rsidR="00EE73E8" w:rsidRDefault="00EE73E8" w:rsidP="00EE73E8">
      <w:pPr>
        <w:numPr>
          <w:ilvl w:val="0"/>
          <w:numId w:val="8"/>
        </w:numPr>
        <w:jc w:val="both"/>
        <w:rPr>
          <w:rFonts w:ascii="Arial" w:hAnsi="Arial" w:cs="Arial"/>
          <w:sz w:val="22"/>
          <w:szCs w:val="22"/>
          <w:lang w:val="en-US"/>
        </w:rPr>
      </w:pPr>
      <w:r>
        <w:rPr>
          <w:rFonts w:ascii="Arial" w:hAnsi="Arial" w:cs="Arial"/>
          <w:sz w:val="22"/>
          <w:szCs w:val="22"/>
          <w:lang w:val="en-US"/>
        </w:rPr>
        <w:t xml:space="preserve">Maintenance contracts, maintenance log, </w:t>
      </w:r>
      <w:proofErr w:type="gramStart"/>
      <w:r>
        <w:rPr>
          <w:rFonts w:ascii="Arial" w:hAnsi="Arial" w:cs="Arial"/>
          <w:sz w:val="22"/>
          <w:szCs w:val="22"/>
          <w:lang w:val="en-US"/>
        </w:rPr>
        <w:t>validation</w:t>
      </w:r>
      <w:proofErr w:type="gramEnd"/>
      <w:r>
        <w:rPr>
          <w:rFonts w:ascii="Arial" w:hAnsi="Arial" w:cs="Arial"/>
          <w:sz w:val="22"/>
          <w:szCs w:val="22"/>
          <w:lang w:val="en-US"/>
        </w:rPr>
        <w:t xml:space="preserve"> and calibration of critical equipment</w:t>
      </w:r>
    </w:p>
    <w:p w14:paraId="3D55499B" w14:textId="77777777" w:rsidR="00EE73E8" w:rsidRDefault="00EE73E8" w:rsidP="00EE73E8">
      <w:pPr>
        <w:numPr>
          <w:ilvl w:val="0"/>
          <w:numId w:val="8"/>
        </w:numPr>
        <w:jc w:val="both"/>
        <w:rPr>
          <w:rFonts w:ascii="Arial" w:hAnsi="Arial" w:cs="Arial"/>
          <w:sz w:val="22"/>
          <w:szCs w:val="22"/>
          <w:lang w:val="en-US"/>
        </w:rPr>
      </w:pPr>
      <w:r>
        <w:rPr>
          <w:rFonts w:ascii="Arial" w:hAnsi="Arial" w:cs="Arial"/>
          <w:sz w:val="22"/>
          <w:szCs w:val="22"/>
          <w:lang w:val="en-US"/>
        </w:rPr>
        <w:t>Contingency plans for equipment / site failure</w:t>
      </w:r>
    </w:p>
    <w:p w14:paraId="0BF5910F" w14:textId="793A3E01" w:rsidR="00EE73E8" w:rsidRDefault="00EE73E8" w:rsidP="00D61FC4">
      <w:pPr>
        <w:numPr>
          <w:ilvl w:val="0"/>
          <w:numId w:val="8"/>
        </w:numPr>
        <w:jc w:val="both"/>
        <w:rPr>
          <w:rFonts w:ascii="Arial" w:hAnsi="Arial" w:cs="Arial"/>
          <w:sz w:val="22"/>
          <w:szCs w:val="22"/>
        </w:rPr>
      </w:pPr>
      <w:r>
        <w:rPr>
          <w:rFonts w:ascii="Arial" w:hAnsi="Arial" w:cs="Arial"/>
          <w:sz w:val="22"/>
          <w:szCs w:val="22"/>
        </w:rPr>
        <w:t>Meeting agendas and minutes</w:t>
      </w:r>
      <w:r w:rsidR="00D61FC4">
        <w:rPr>
          <w:rFonts w:ascii="Arial" w:hAnsi="Arial" w:cs="Arial"/>
          <w:sz w:val="22"/>
          <w:szCs w:val="22"/>
        </w:rPr>
        <w:t xml:space="preserve"> including </w:t>
      </w:r>
      <w:r w:rsidR="007A5632">
        <w:rPr>
          <w:rFonts w:ascii="Arial" w:hAnsi="Arial" w:cs="Arial"/>
          <w:sz w:val="22"/>
          <w:szCs w:val="22"/>
        </w:rPr>
        <w:t>s</w:t>
      </w:r>
      <w:r w:rsidR="00D61FC4" w:rsidRPr="00D61FC4">
        <w:rPr>
          <w:rFonts w:ascii="Arial" w:hAnsi="Arial" w:cs="Arial"/>
          <w:sz w:val="22"/>
          <w:szCs w:val="22"/>
        </w:rPr>
        <w:t>ystem</w:t>
      </w:r>
      <w:r w:rsidR="0051355F">
        <w:rPr>
          <w:rFonts w:ascii="Arial" w:hAnsi="Arial" w:cs="Arial"/>
          <w:sz w:val="22"/>
          <w:szCs w:val="22"/>
        </w:rPr>
        <w:t>s</w:t>
      </w:r>
      <w:r w:rsidR="007A5632">
        <w:rPr>
          <w:rFonts w:ascii="Arial" w:hAnsi="Arial" w:cs="Arial"/>
          <w:sz w:val="22"/>
          <w:szCs w:val="22"/>
        </w:rPr>
        <w:t xml:space="preserve"> used</w:t>
      </w:r>
      <w:r w:rsidR="009127BB">
        <w:rPr>
          <w:rFonts w:ascii="Arial" w:hAnsi="Arial" w:cs="Arial"/>
          <w:sz w:val="22"/>
          <w:szCs w:val="22"/>
        </w:rPr>
        <w:t xml:space="preserve"> </w:t>
      </w:r>
      <w:r w:rsidR="00D61FC4" w:rsidRPr="00D61FC4">
        <w:rPr>
          <w:rFonts w:ascii="Arial" w:hAnsi="Arial" w:cs="Arial"/>
          <w:sz w:val="22"/>
          <w:szCs w:val="22"/>
        </w:rPr>
        <w:t>to distribute local/national information</w:t>
      </w:r>
    </w:p>
    <w:p w14:paraId="66CAA671" w14:textId="77777777" w:rsidR="00EE73E8" w:rsidRDefault="00EE73E8" w:rsidP="00EE73E8">
      <w:pPr>
        <w:numPr>
          <w:ilvl w:val="0"/>
          <w:numId w:val="8"/>
        </w:numPr>
        <w:jc w:val="both"/>
        <w:rPr>
          <w:rFonts w:ascii="Arial" w:hAnsi="Arial" w:cs="Arial"/>
          <w:sz w:val="22"/>
          <w:szCs w:val="22"/>
        </w:rPr>
      </w:pPr>
      <w:r>
        <w:rPr>
          <w:rFonts w:ascii="Arial" w:hAnsi="Arial" w:cs="Arial"/>
          <w:sz w:val="22"/>
          <w:szCs w:val="22"/>
        </w:rPr>
        <w:t xml:space="preserve">Agreements </w:t>
      </w:r>
      <w:proofErr w:type="gramStart"/>
      <w:r>
        <w:rPr>
          <w:rFonts w:ascii="Arial" w:hAnsi="Arial" w:cs="Arial"/>
          <w:sz w:val="22"/>
          <w:szCs w:val="22"/>
        </w:rPr>
        <w:t>e.g.</w:t>
      </w:r>
      <w:proofErr w:type="gramEnd"/>
      <w:r>
        <w:rPr>
          <w:rFonts w:ascii="Arial" w:hAnsi="Arial" w:cs="Arial"/>
          <w:sz w:val="22"/>
          <w:szCs w:val="22"/>
        </w:rPr>
        <w:t xml:space="preserve"> contracts, Material Transfer Agreements, Service Level Agreements, Third Party Agreements</w:t>
      </w:r>
    </w:p>
    <w:p w14:paraId="3C7AE65D" w14:textId="77777777" w:rsidR="009143FC" w:rsidRDefault="009143FC" w:rsidP="009143FC">
      <w:pPr>
        <w:rPr>
          <w:rFonts w:ascii="Arial" w:hAnsi="Arial" w:cs="Arial"/>
          <w:b/>
        </w:rPr>
      </w:pPr>
    </w:p>
    <w:p w14:paraId="61B1D464" w14:textId="77777777" w:rsidR="00EE73E8" w:rsidRDefault="00EE73E8" w:rsidP="00C13F6F">
      <w:pPr>
        <w:numPr>
          <w:ilvl w:val="0"/>
          <w:numId w:val="34"/>
        </w:numPr>
        <w:rPr>
          <w:rFonts w:ascii="Arial" w:hAnsi="Arial" w:cs="Arial"/>
          <w:b/>
        </w:rPr>
      </w:pPr>
      <w:r>
        <w:rPr>
          <w:rFonts w:ascii="Arial" w:hAnsi="Arial" w:cs="Arial"/>
          <w:b/>
        </w:rPr>
        <w:t>Health and Safety</w:t>
      </w:r>
    </w:p>
    <w:p w14:paraId="7E2DFB48" w14:textId="77777777" w:rsidR="00EE73E8" w:rsidRDefault="00EE73E8">
      <w:pPr>
        <w:jc w:val="both"/>
        <w:rPr>
          <w:rFonts w:ascii="Arial" w:hAnsi="Arial" w:cs="Arial"/>
          <w:b/>
          <w:sz w:val="22"/>
          <w:szCs w:val="22"/>
          <w:highlight w:val="yellow"/>
        </w:rPr>
      </w:pPr>
    </w:p>
    <w:p w14:paraId="450DFC22" w14:textId="6C4DC43B" w:rsidR="00EE73E8" w:rsidRPr="00D42745" w:rsidRDefault="00804CE6">
      <w:pPr>
        <w:jc w:val="both"/>
        <w:rPr>
          <w:rFonts w:ascii="Arial" w:hAnsi="Arial" w:cs="Arial"/>
          <w:sz w:val="22"/>
          <w:szCs w:val="22"/>
        </w:rPr>
      </w:pPr>
      <w:r>
        <w:rPr>
          <w:rFonts w:ascii="Arial" w:hAnsi="Arial" w:cs="Arial"/>
          <w:sz w:val="22"/>
          <w:szCs w:val="22"/>
        </w:rPr>
        <w:t xml:space="preserve">Any work involving Relevant Material </w:t>
      </w:r>
      <w:r w:rsidR="00D07D02">
        <w:rPr>
          <w:rFonts w:ascii="Arial" w:hAnsi="Arial" w:cs="Arial"/>
          <w:sz w:val="22"/>
          <w:szCs w:val="22"/>
        </w:rPr>
        <w:t>must be in line</w:t>
      </w:r>
      <w:r>
        <w:rPr>
          <w:rFonts w:ascii="Arial" w:hAnsi="Arial" w:cs="Arial"/>
          <w:sz w:val="22"/>
          <w:szCs w:val="22"/>
        </w:rPr>
        <w:t xml:space="preserve"> with the Safety and Health </w:t>
      </w:r>
      <w:r w:rsidR="00462FDF">
        <w:rPr>
          <w:rFonts w:ascii="Arial" w:hAnsi="Arial" w:cs="Arial"/>
          <w:sz w:val="22"/>
          <w:szCs w:val="22"/>
        </w:rPr>
        <w:t>Services</w:t>
      </w:r>
      <w:r w:rsidR="00D07D02">
        <w:rPr>
          <w:rFonts w:ascii="Arial" w:hAnsi="Arial" w:cs="Arial"/>
          <w:sz w:val="22"/>
          <w:szCs w:val="22"/>
        </w:rPr>
        <w:t xml:space="preserve"> guidance</w:t>
      </w:r>
      <w:r>
        <w:rPr>
          <w:rFonts w:ascii="Arial" w:hAnsi="Arial" w:cs="Arial"/>
          <w:sz w:val="22"/>
          <w:szCs w:val="22"/>
        </w:rPr>
        <w:t xml:space="preserve">, including completion of risk assessments as appropriate. </w:t>
      </w:r>
      <w:r w:rsidR="003E3D0A" w:rsidRPr="00D42745">
        <w:rPr>
          <w:rFonts w:ascii="Arial" w:hAnsi="Arial" w:cs="Arial"/>
          <w:sz w:val="22"/>
          <w:szCs w:val="22"/>
        </w:rPr>
        <w:t>Please refer to Annex A and B</w:t>
      </w:r>
      <w:r w:rsidR="005E05C9" w:rsidRPr="00D42745">
        <w:rPr>
          <w:rFonts w:ascii="Arial" w:hAnsi="Arial" w:cs="Arial"/>
          <w:sz w:val="22"/>
          <w:szCs w:val="22"/>
        </w:rPr>
        <w:t>.</w:t>
      </w:r>
    </w:p>
    <w:p w14:paraId="448E6B4F" w14:textId="77777777" w:rsidR="00EE73E8" w:rsidRDefault="00EE73E8">
      <w:pPr>
        <w:jc w:val="both"/>
        <w:rPr>
          <w:rFonts w:ascii="Arial" w:hAnsi="Arial" w:cs="Arial"/>
          <w:b/>
          <w:sz w:val="22"/>
          <w:szCs w:val="22"/>
          <w:highlight w:val="yellow"/>
        </w:rPr>
      </w:pPr>
    </w:p>
    <w:p w14:paraId="26B79011" w14:textId="3FA1C844" w:rsidR="00EE73E8" w:rsidRDefault="00F0349C" w:rsidP="00C13F6F">
      <w:pPr>
        <w:numPr>
          <w:ilvl w:val="0"/>
          <w:numId w:val="34"/>
        </w:numPr>
        <w:rPr>
          <w:rFonts w:ascii="Arial" w:hAnsi="Arial" w:cs="Arial"/>
          <w:b/>
        </w:rPr>
      </w:pPr>
      <w:r>
        <w:rPr>
          <w:rFonts w:ascii="Arial" w:hAnsi="Arial" w:cs="Arial"/>
          <w:b/>
        </w:rPr>
        <w:t>Incident</w:t>
      </w:r>
      <w:r w:rsidR="002D2EB8">
        <w:rPr>
          <w:rFonts w:ascii="Arial" w:hAnsi="Arial" w:cs="Arial"/>
          <w:b/>
        </w:rPr>
        <w:t>,</w:t>
      </w:r>
      <w:r>
        <w:rPr>
          <w:rFonts w:ascii="Arial" w:hAnsi="Arial" w:cs="Arial"/>
          <w:b/>
        </w:rPr>
        <w:t xml:space="preserve"> </w:t>
      </w:r>
      <w:r w:rsidR="00EE73E8">
        <w:rPr>
          <w:rFonts w:ascii="Arial" w:hAnsi="Arial" w:cs="Arial"/>
          <w:b/>
        </w:rPr>
        <w:t>Adverse Events</w:t>
      </w:r>
      <w:r w:rsidR="00627C49">
        <w:rPr>
          <w:rFonts w:ascii="Arial" w:hAnsi="Arial" w:cs="Arial"/>
          <w:b/>
        </w:rPr>
        <w:t xml:space="preserve"> and risk assessments</w:t>
      </w:r>
    </w:p>
    <w:p w14:paraId="011B1A77" w14:textId="5E2839AF" w:rsidR="008377E8" w:rsidRDefault="008377E8" w:rsidP="008C0A7F">
      <w:pPr>
        <w:jc w:val="both"/>
        <w:rPr>
          <w:rFonts w:ascii="Arial" w:hAnsi="Arial" w:cs="Arial"/>
          <w:sz w:val="22"/>
          <w:szCs w:val="22"/>
        </w:rPr>
      </w:pPr>
    </w:p>
    <w:p w14:paraId="4839C677" w14:textId="01B327AD" w:rsidR="00D07D02" w:rsidRPr="00462FDF" w:rsidRDefault="00D07D02" w:rsidP="008C0A7F">
      <w:pPr>
        <w:jc w:val="both"/>
        <w:rPr>
          <w:rFonts w:ascii="Arial" w:hAnsi="Arial" w:cs="Arial"/>
          <w:i/>
          <w:iCs/>
          <w:sz w:val="22"/>
          <w:szCs w:val="22"/>
        </w:rPr>
      </w:pPr>
      <w:r>
        <w:rPr>
          <w:rFonts w:ascii="Arial" w:hAnsi="Arial" w:cs="Arial"/>
          <w:i/>
          <w:iCs/>
          <w:sz w:val="22"/>
          <w:szCs w:val="22"/>
        </w:rPr>
        <w:t>Incidents and Adverse Events</w:t>
      </w:r>
    </w:p>
    <w:p w14:paraId="230DAD5F" w14:textId="17CC8211" w:rsidR="008C0A7F" w:rsidRDefault="008C0A7F" w:rsidP="008C0A7F">
      <w:pPr>
        <w:jc w:val="both"/>
        <w:rPr>
          <w:rFonts w:ascii="Arial" w:hAnsi="Arial" w:cs="Arial"/>
          <w:sz w:val="22"/>
          <w:szCs w:val="22"/>
        </w:rPr>
      </w:pPr>
      <w:r>
        <w:rPr>
          <w:rFonts w:ascii="Arial" w:hAnsi="Arial" w:cs="Arial"/>
          <w:sz w:val="22"/>
          <w:szCs w:val="22"/>
        </w:rPr>
        <w:t xml:space="preserve">Investigating </w:t>
      </w:r>
      <w:r w:rsidR="0017054C">
        <w:rPr>
          <w:rFonts w:ascii="Arial" w:hAnsi="Arial" w:cs="Arial"/>
          <w:sz w:val="22"/>
          <w:szCs w:val="22"/>
        </w:rPr>
        <w:t>i</w:t>
      </w:r>
      <w:r w:rsidR="0000096C">
        <w:rPr>
          <w:rFonts w:ascii="Arial" w:hAnsi="Arial" w:cs="Arial"/>
          <w:sz w:val="22"/>
          <w:szCs w:val="22"/>
        </w:rPr>
        <w:t xml:space="preserve">ncidents and </w:t>
      </w:r>
      <w:r>
        <w:rPr>
          <w:rFonts w:ascii="Arial" w:hAnsi="Arial" w:cs="Arial"/>
          <w:sz w:val="22"/>
          <w:szCs w:val="22"/>
        </w:rPr>
        <w:t>Adverse Events</w:t>
      </w:r>
      <w:r w:rsidR="0051355F">
        <w:rPr>
          <w:rFonts w:ascii="Arial" w:hAnsi="Arial" w:cs="Arial"/>
          <w:sz w:val="22"/>
          <w:szCs w:val="22"/>
        </w:rPr>
        <w:t xml:space="preserve"> (AEs)</w:t>
      </w:r>
      <w:r>
        <w:rPr>
          <w:rFonts w:ascii="Arial" w:hAnsi="Arial" w:cs="Arial"/>
          <w:sz w:val="22"/>
          <w:szCs w:val="22"/>
        </w:rPr>
        <w:t xml:space="preserve"> and taking corrective and preventive action is an important part of the risk management process. The purpose is to assure the health and safety of those handling Relevant Material and to avoid loss or damage to Relevant Material. </w:t>
      </w:r>
      <w:r w:rsidR="0000096C">
        <w:rPr>
          <w:rFonts w:ascii="Arial" w:hAnsi="Arial" w:cs="Arial"/>
          <w:sz w:val="22"/>
          <w:szCs w:val="22"/>
        </w:rPr>
        <w:t xml:space="preserve">Incidents or </w:t>
      </w:r>
      <w:r>
        <w:rPr>
          <w:rFonts w:ascii="Arial" w:hAnsi="Arial" w:cs="Arial"/>
          <w:sz w:val="22"/>
          <w:szCs w:val="22"/>
        </w:rPr>
        <w:t>A</w:t>
      </w:r>
      <w:r w:rsidR="00383923">
        <w:rPr>
          <w:rFonts w:ascii="Arial" w:hAnsi="Arial" w:cs="Arial"/>
          <w:sz w:val="22"/>
          <w:szCs w:val="22"/>
        </w:rPr>
        <w:t xml:space="preserve">Es </w:t>
      </w:r>
      <w:r>
        <w:rPr>
          <w:rFonts w:ascii="Arial" w:hAnsi="Arial" w:cs="Arial"/>
          <w:sz w:val="22"/>
          <w:szCs w:val="22"/>
        </w:rPr>
        <w:t xml:space="preserve">that lead </w:t>
      </w:r>
      <w:r w:rsidR="00655B49">
        <w:rPr>
          <w:rFonts w:ascii="Arial" w:hAnsi="Arial" w:cs="Arial"/>
          <w:sz w:val="22"/>
          <w:szCs w:val="22"/>
        </w:rPr>
        <w:t>to or</w:t>
      </w:r>
      <w:r>
        <w:rPr>
          <w:rFonts w:ascii="Arial" w:hAnsi="Arial" w:cs="Arial"/>
          <w:sz w:val="22"/>
          <w:szCs w:val="22"/>
        </w:rPr>
        <w:t xml:space="preserve"> could have led to the harm of any individual(s) must be reported to Safety and Health Services. A record must be kept of all </w:t>
      </w:r>
      <w:r w:rsidR="0017054C">
        <w:rPr>
          <w:rFonts w:ascii="Arial" w:hAnsi="Arial" w:cs="Arial"/>
          <w:sz w:val="22"/>
          <w:szCs w:val="22"/>
        </w:rPr>
        <w:t xml:space="preserve">incidents and </w:t>
      </w:r>
      <w:r>
        <w:rPr>
          <w:rFonts w:ascii="Arial" w:hAnsi="Arial" w:cs="Arial"/>
          <w:sz w:val="22"/>
          <w:szCs w:val="22"/>
        </w:rPr>
        <w:t xml:space="preserve">AEs together with the outcome of any investigation. </w:t>
      </w:r>
    </w:p>
    <w:p w14:paraId="5881C97B" w14:textId="77777777" w:rsidR="008C0A7F" w:rsidRDefault="008C0A7F" w:rsidP="008C0A7F">
      <w:pPr>
        <w:jc w:val="both"/>
        <w:rPr>
          <w:rFonts w:ascii="Arial" w:hAnsi="Arial" w:cs="Arial"/>
          <w:sz w:val="22"/>
          <w:szCs w:val="22"/>
        </w:rPr>
      </w:pPr>
    </w:p>
    <w:p w14:paraId="6B43991D" w14:textId="24E14800" w:rsidR="000B0F57" w:rsidRDefault="000B0F57" w:rsidP="000B0F57">
      <w:pPr>
        <w:jc w:val="both"/>
        <w:rPr>
          <w:rFonts w:ascii="Arial" w:hAnsi="Arial" w:cs="Arial"/>
          <w:sz w:val="22"/>
          <w:szCs w:val="22"/>
        </w:rPr>
      </w:pPr>
      <w:r w:rsidRPr="000B0F57">
        <w:rPr>
          <w:rFonts w:ascii="Arial" w:hAnsi="Arial" w:cs="Arial"/>
          <w:sz w:val="22"/>
          <w:szCs w:val="22"/>
        </w:rPr>
        <w:t>All establishments licensed by the HTA are required to have an internal system</w:t>
      </w:r>
      <w:r>
        <w:rPr>
          <w:rFonts w:ascii="Arial" w:hAnsi="Arial" w:cs="Arial"/>
          <w:sz w:val="22"/>
          <w:szCs w:val="22"/>
        </w:rPr>
        <w:t xml:space="preserve"> </w:t>
      </w:r>
      <w:r w:rsidRPr="000B0F57">
        <w:rPr>
          <w:rFonts w:ascii="Arial" w:hAnsi="Arial" w:cs="Arial"/>
          <w:sz w:val="22"/>
          <w:szCs w:val="22"/>
        </w:rPr>
        <w:t xml:space="preserve">for reporting </w:t>
      </w:r>
      <w:r w:rsidR="0017054C">
        <w:rPr>
          <w:rFonts w:ascii="Arial" w:hAnsi="Arial" w:cs="Arial"/>
          <w:sz w:val="22"/>
          <w:szCs w:val="22"/>
        </w:rPr>
        <w:t xml:space="preserve">incidents and </w:t>
      </w:r>
      <w:r w:rsidR="0051355F">
        <w:rPr>
          <w:rFonts w:ascii="Arial" w:hAnsi="Arial" w:cs="Arial"/>
          <w:sz w:val="22"/>
          <w:szCs w:val="22"/>
        </w:rPr>
        <w:t>AEs</w:t>
      </w:r>
      <w:r w:rsidRPr="000B0F57">
        <w:rPr>
          <w:rFonts w:ascii="Arial" w:hAnsi="Arial" w:cs="Arial"/>
          <w:sz w:val="22"/>
          <w:szCs w:val="22"/>
        </w:rPr>
        <w:t xml:space="preserve"> and, where necessary, instigating an investigation or</w:t>
      </w:r>
      <w:r>
        <w:rPr>
          <w:rFonts w:ascii="Arial" w:hAnsi="Arial" w:cs="Arial"/>
          <w:sz w:val="22"/>
          <w:szCs w:val="22"/>
        </w:rPr>
        <w:t xml:space="preserve"> </w:t>
      </w:r>
      <w:r w:rsidRPr="000B0F57">
        <w:rPr>
          <w:rFonts w:ascii="Arial" w:hAnsi="Arial" w:cs="Arial"/>
          <w:sz w:val="22"/>
          <w:szCs w:val="22"/>
        </w:rPr>
        <w:t>root cause analysis.</w:t>
      </w:r>
      <w:r w:rsidR="00E872BB">
        <w:rPr>
          <w:rFonts w:ascii="Arial" w:hAnsi="Arial" w:cs="Arial"/>
          <w:sz w:val="22"/>
          <w:szCs w:val="22"/>
        </w:rPr>
        <w:t xml:space="preserve"> </w:t>
      </w:r>
      <w:r w:rsidR="00510D38">
        <w:rPr>
          <w:rFonts w:ascii="Arial" w:hAnsi="Arial" w:cs="Arial"/>
          <w:sz w:val="22"/>
          <w:szCs w:val="22"/>
        </w:rPr>
        <w:t>This includes a</w:t>
      </w:r>
      <w:r w:rsidR="00E872BB">
        <w:rPr>
          <w:rFonts w:ascii="Arial" w:hAnsi="Arial" w:cs="Arial"/>
          <w:sz w:val="22"/>
          <w:szCs w:val="22"/>
        </w:rPr>
        <w:t>ny</w:t>
      </w:r>
      <w:r w:rsidR="00510D38">
        <w:rPr>
          <w:rFonts w:ascii="Arial" w:hAnsi="Arial" w:cs="Arial"/>
          <w:sz w:val="22"/>
          <w:szCs w:val="22"/>
        </w:rPr>
        <w:t xml:space="preserve"> ‘near-</w:t>
      </w:r>
      <w:proofErr w:type="spellStart"/>
      <w:r w:rsidR="00510D38">
        <w:rPr>
          <w:rFonts w:ascii="Arial" w:hAnsi="Arial" w:cs="Arial"/>
          <w:sz w:val="22"/>
          <w:szCs w:val="22"/>
        </w:rPr>
        <w:t>miss’</w:t>
      </w:r>
      <w:proofErr w:type="spellEnd"/>
      <w:r w:rsidR="00510D38">
        <w:rPr>
          <w:rFonts w:ascii="Arial" w:hAnsi="Arial" w:cs="Arial"/>
          <w:sz w:val="22"/>
          <w:szCs w:val="22"/>
        </w:rPr>
        <w:t xml:space="preserve"> </w:t>
      </w:r>
      <w:r w:rsidR="00E872BB">
        <w:rPr>
          <w:rFonts w:ascii="Arial" w:hAnsi="Arial" w:cs="Arial"/>
          <w:sz w:val="22"/>
          <w:szCs w:val="22"/>
        </w:rPr>
        <w:t xml:space="preserve">situations </w:t>
      </w:r>
      <w:r w:rsidR="00510D38">
        <w:rPr>
          <w:rFonts w:ascii="Arial" w:hAnsi="Arial" w:cs="Arial"/>
          <w:sz w:val="22"/>
          <w:szCs w:val="22"/>
        </w:rPr>
        <w:t xml:space="preserve">that </w:t>
      </w:r>
      <w:r w:rsidR="00E872BB">
        <w:rPr>
          <w:rFonts w:ascii="Arial" w:hAnsi="Arial" w:cs="Arial"/>
          <w:sz w:val="22"/>
          <w:szCs w:val="22"/>
        </w:rPr>
        <w:t xml:space="preserve">have the potential to </w:t>
      </w:r>
      <w:r w:rsidR="00510D38">
        <w:rPr>
          <w:rFonts w:ascii="Arial" w:hAnsi="Arial" w:cs="Arial"/>
          <w:sz w:val="22"/>
          <w:szCs w:val="22"/>
        </w:rPr>
        <w:t>affect individual(s) or the Relevant Material itself.</w:t>
      </w:r>
    </w:p>
    <w:p w14:paraId="180F82A2" w14:textId="77777777" w:rsidR="000B0F57" w:rsidRPr="000B0F57" w:rsidRDefault="000B0F57" w:rsidP="000B0F57">
      <w:pPr>
        <w:jc w:val="both"/>
        <w:rPr>
          <w:rFonts w:ascii="Arial" w:hAnsi="Arial" w:cs="Arial"/>
          <w:sz w:val="22"/>
          <w:szCs w:val="22"/>
        </w:rPr>
      </w:pPr>
    </w:p>
    <w:p w14:paraId="70DECAF8" w14:textId="5C175307" w:rsidR="000B0F57" w:rsidRDefault="000B0F57" w:rsidP="000B0F57">
      <w:pPr>
        <w:jc w:val="both"/>
        <w:rPr>
          <w:rFonts w:ascii="Arial" w:hAnsi="Arial" w:cs="Arial"/>
          <w:sz w:val="22"/>
          <w:szCs w:val="22"/>
        </w:rPr>
      </w:pPr>
      <w:r>
        <w:rPr>
          <w:rFonts w:ascii="Arial" w:hAnsi="Arial" w:cs="Arial"/>
          <w:sz w:val="22"/>
          <w:szCs w:val="22"/>
        </w:rPr>
        <w:t xml:space="preserve">DIs must have a process to ensure awareness </w:t>
      </w:r>
      <w:r w:rsidR="00E61162">
        <w:rPr>
          <w:rFonts w:ascii="Arial" w:hAnsi="Arial" w:cs="Arial"/>
          <w:sz w:val="22"/>
          <w:szCs w:val="22"/>
        </w:rPr>
        <w:t xml:space="preserve">of </w:t>
      </w:r>
      <w:r w:rsidR="00DF5B61">
        <w:rPr>
          <w:rFonts w:ascii="Arial" w:hAnsi="Arial" w:cs="Arial"/>
          <w:sz w:val="22"/>
          <w:szCs w:val="22"/>
        </w:rPr>
        <w:t xml:space="preserve">incidents and </w:t>
      </w:r>
      <w:r w:rsidR="0051355F">
        <w:rPr>
          <w:rFonts w:ascii="Arial" w:hAnsi="Arial" w:cs="Arial"/>
          <w:sz w:val="22"/>
          <w:szCs w:val="22"/>
        </w:rPr>
        <w:t>AEs</w:t>
      </w:r>
      <w:r w:rsidRPr="000B0F57">
        <w:rPr>
          <w:rFonts w:ascii="Arial" w:hAnsi="Arial" w:cs="Arial"/>
          <w:sz w:val="22"/>
          <w:szCs w:val="22"/>
        </w:rPr>
        <w:t xml:space="preserve"> so that</w:t>
      </w:r>
      <w:r>
        <w:rPr>
          <w:rFonts w:ascii="Arial" w:hAnsi="Arial" w:cs="Arial"/>
          <w:sz w:val="22"/>
          <w:szCs w:val="22"/>
        </w:rPr>
        <w:t xml:space="preserve"> </w:t>
      </w:r>
      <w:r w:rsidRPr="000B0F57">
        <w:rPr>
          <w:rFonts w:ascii="Arial" w:hAnsi="Arial" w:cs="Arial"/>
          <w:sz w:val="22"/>
          <w:szCs w:val="22"/>
        </w:rPr>
        <w:t xml:space="preserve">proper investigation and reporting can take place. There should be an </w:t>
      </w:r>
      <w:r w:rsidR="00DF5B61">
        <w:rPr>
          <w:rFonts w:ascii="Arial" w:hAnsi="Arial" w:cs="Arial"/>
          <w:sz w:val="22"/>
          <w:szCs w:val="22"/>
        </w:rPr>
        <w:t xml:space="preserve">incident and </w:t>
      </w:r>
      <w:r w:rsidRPr="000B0F57">
        <w:rPr>
          <w:rFonts w:ascii="Arial" w:hAnsi="Arial" w:cs="Arial"/>
          <w:sz w:val="22"/>
          <w:szCs w:val="22"/>
        </w:rPr>
        <w:t>adverse</w:t>
      </w:r>
      <w:r>
        <w:rPr>
          <w:rFonts w:ascii="Arial" w:hAnsi="Arial" w:cs="Arial"/>
          <w:sz w:val="22"/>
          <w:szCs w:val="22"/>
        </w:rPr>
        <w:t xml:space="preserve"> </w:t>
      </w:r>
      <w:r w:rsidR="00DF5B61">
        <w:rPr>
          <w:rFonts w:ascii="Arial" w:hAnsi="Arial" w:cs="Arial"/>
          <w:sz w:val="22"/>
          <w:szCs w:val="22"/>
        </w:rPr>
        <w:t>event</w:t>
      </w:r>
      <w:r w:rsidR="00DF5B61" w:rsidRPr="000B0F57">
        <w:rPr>
          <w:rFonts w:ascii="Arial" w:hAnsi="Arial" w:cs="Arial"/>
          <w:sz w:val="22"/>
          <w:szCs w:val="22"/>
        </w:rPr>
        <w:t xml:space="preserve"> </w:t>
      </w:r>
      <w:r w:rsidRPr="000B0F57">
        <w:rPr>
          <w:rFonts w:ascii="Arial" w:hAnsi="Arial" w:cs="Arial"/>
          <w:sz w:val="22"/>
          <w:szCs w:val="22"/>
        </w:rPr>
        <w:t xml:space="preserve">SOP detailing how </w:t>
      </w:r>
      <w:r w:rsidR="00DF5B61">
        <w:rPr>
          <w:rFonts w:ascii="Arial" w:hAnsi="Arial" w:cs="Arial"/>
          <w:sz w:val="22"/>
          <w:szCs w:val="22"/>
        </w:rPr>
        <w:t>incidents and AEs</w:t>
      </w:r>
      <w:r w:rsidR="00DF5B61" w:rsidRPr="000B0F57">
        <w:rPr>
          <w:rFonts w:ascii="Arial" w:hAnsi="Arial" w:cs="Arial"/>
          <w:sz w:val="22"/>
          <w:szCs w:val="22"/>
        </w:rPr>
        <w:t xml:space="preserve"> </w:t>
      </w:r>
      <w:r w:rsidRPr="000B0F57">
        <w:rPr>
          <w:rFonts w:ascii="Arial" w:hAnsi="Arial" w:cs="Arial"/>
          <w:sz w:val="22"/>
          <w:szCs w:val="22"/>
        </w:rPr>
        <w:t xml:space="preserve">are logged, reported, </w:t>
      </w:r>
      <w:proofErr w:type="gramStart"/>
      <w:r w:rsidRPr="000B0F57">
        <w:rPr>
          <w:rFonts w:ascii="Arial" w:hAnsi="Arial" w:cs="Arial"/>
          <w:sz w:val="22"/>
          <w:szCs w:val="22"/>
        </w:rPr>
        <w:t>addressed</w:t>
      </w:r>
      <w:proofErr w:type="gramEnd"/>
      <w:r>
        <w:rPr>
          <w:rFonts w:ascii="Arial" w:hAnsi="Arial" w:cs="Arial"/>
          <w:sz w:val="22"/>
          <w:szCs w:val="22"/>
        </w:rPr>
        <w:t xml:space="preserve"> </w:t>
      </w:r>
      <w:r w:rsidRPr="000B0F57">
        <w:rPr>
          <w:rFonts w:ascii="Arial" w:hAnsi="Arial" w:cs="Arial"/>
          <w:sz w:val="22"/>
          <w:szCs w:val="22"/>
        </w:rPr>
        <w:t>and monitored.</w:t>
      </w:r>
    </w:p>
    <w:p w14:paraId="0BE79F89" w14:textId="77777777" w:rsidR="003F29D3" w:rsidRPr="000B0F57" w:rsidRDefault="003F29D3" w:rsidP="000B0F57">
      <w:pPr>
        <w:jc w:val="both"/>
        <w:rPr>
          <w:rFonts w:ascii="Arial" w:hAnsi="Arial" w:cs="Arial"/>
          <w:sz w:val="22"/>
          <w:szCs w:val="22"/>
        </w:rPr>
      </w:pPr>
    </w:p>
    <w:p w14:paraId="57BD4712" w14:textId="05D928CF" w:rsidR="000B0F57" w:rsidRDefault="000B0F57" w:rsidP="000B0F57">
      <w:pPr>
        <w:jc w:val="both"/>
        <w:rPr>
          <w:rFonts w:ascii="Arial" w:hAnsi="Arial" w:cs="Arial"/>
          <w:sz w:val="22"/>
          <w:szCs w:val="22"/>
        </w:rPr>
      </w:pPr>
      <w:r>
        <w:rPr>
          <w:rFonts w:ascii="Arial" w:hAnsi="Arial" w:cs="Arial"/>
          <w:sz w:val="22"/>
          <w:szCs w:val="22"/>
        </w:rPr>
        <w:t>T</w:t>
      </w:r>
      <w:r w:rsidRPr="000B0F57">
        <w:rPr>
          <w:rFonts w:ascii="Arial" w:hAnsi="Arial" w:cs="Arial"/>
          <w:sz w:val="22"/>
          <w:szCs w:val="22"/>
        </w:rPr>
        <w:t>here is currently no requirement for establishments in the research</w:t>
      </w:r>
      <w:r w:rsidR="00DF5B61">
        <w:rPr>
          <w:rFonts w:ascii="Arial" w:hAnsi="Arial" w:cs="Arial"/>
          <w:sz w:val="22"/>
          <w:szCs w:val="22"/>
        </w:rPr>
        <w:t xml:space="preserve"> or anatomy</w:t>
      </w:r>
      <w:r>
        <w:rPr>
          <w:rFonts w:ascii="Arial" w:hAnsi="Arial" w:cs="Arial"/>
          <w:sz w:val="22"/>
          <w:szCs w:val="22"/>
        </w:rPr>
        <w:t xml:space="preserve"> </w:t>
      </w:r>
      <w:r w:rsidRPr="000B0F57">
        <w:rPr>
          <w:rFonts w:ascii="Arial" w:hAnsi="Arial" w:cs="Arial"/>
          <w:sz w:val="22"/>
          <w:szCs w:val="22"/>
        </w:rPr>
        <w:t xml:space="preserve">sector to report </w:t>
      </w:r>
      <w:r w:rsidR="00DF5B61">
        <w:rPr>
          <w:rFonts w:ascii="Arial" w:hAnsi="Arial" w:cs="Arial"/>
          <w:sz w:val="22"/>
          <w:szCs w:val="22"/>
        </w:rPr>
        <w:t>incidents and AEs</w:t>
      </w:r>
      <w:r w:rsidR="00DF5B61" w:rsidRPr="000B0F57">
        <w:rPr>
          <w:rFonts w:ascii="Arial" w:hAnsi="Arial" w:cs="Arial"/>
          <w:sz w:val="22"/>
          <w:szCs w:val="22"/>
        </w:rPr>
        <w:t xml:space="preserve"> </w:t>
      </w:r>
      <w:r w:rsidRPr="000B0F57">
        <w:rPr>
          <w:rFonts w:ascii="Arial" w:hAnsi="Arial" w:cs="Arial"/>
          <w:sz w:val="22"/>
          <w:szCs w:val="22"/>
        </w:rPr>
        <w:t xml:space="preserve">to the </w:t>
      </w:r>
      <w:proofErr w:type="gramStart"/>
      <w:r w:rsidRPr="000B0F57">
        <w:rPr>
          <w:rFonts w:ascii="Arial" w:hAnsi="Arial" w:cs="Arial"/>
          <w:sz w:val="22"/>
          <w:szCs w:val="22"/>
        </w:rPr>
        <w:t>HTA</w:t>
      </w:r>
      <w:proofErr w:type="gramEnd"/>
      <w:r>
        <w:rPr>
          <w:rFonts w:ascii="Arial" w:hAnsi="Arial" w:cs="Arial"/>
          <w:sz w:val="22"/>
          <w:szCs w:val="22"/>
        </w:rPr>
        <w:t xml:space="preserve"> but </w:t>
      </w:r>
      <w:r w:rsidR="00692686">
        <w:rPr>
          <w:rFonts w:ascii="Arial" w:hAnsi="Arial" w:cs="Arial"/>
          <w:sz w:val="22"/>
          <w:szCs w:val="22"/>
        </w:rPr>
        <w:t xml:space="preserve">the HTA encourages DIs to seek </w:t>
      </w:r>
      <w:r w:rsidRPr="000B0F57">
        <w:rPr>
          <w:rFonts w:ascii="Arial" w:hAnsi="Arial" w:cs="Arial"/>
          <w:sz w:val="22"/>
          <w:szCs w:val="22"/>
        </w:rPr>
        <w:t>further advice</w:t>
      </w:r>
      <w:r w:rsidR="00692686">
        <w:rPr>
          <w:rFonts w:ascii="Arial" w:hAnsi="Arial" w:cs="Arial"/>
          <w:sz w:val="22"/>
          <w:szCs w:val="22"/>
        </w:rPr>
        <w:t xml:space="preserve"> where necessary</w:t>
      </w:r>
      <w:r w:rsidRPr="000B0F57">
        <w:rPr>
          <w:rFonts w:ascii="Arial" w:hAnsi="Arial" w:cs="Arial"/>
          <w:sz w:val="22"/>
          <w:szCs w:val="22"/>
        </w:rPr>
        <w:t>.</w:t>
      </w:r>
      <w:r>
        <w:rPr>
          <w:rFonts w:ascii="Arial" w:hAnsi="Arial" w:cs="Arial"/>
          <w:sz w:val="22"/>
          <w:szCs w:val="22"/>
        </w:rPr>
        <w:t xml:space="preserve"> </w:t>
      </w:r>
    </w:p>
    <w:p w14:paraId="50623CD1" w14:textId="77777777" w:rsidR="000B0F57" w:rsidRPr="000B0F57" w:rsidRDefault="000B0F57" w:rsidP="000B0F57">
      <w:pPr>
        <w:jc w:val="both"/>
        <w:rPr>
          <w:rFonts w:ascii="Arial" w:hAnsi="Arial" w:cs="Arial"/>
          <w:sz w:val="22"/>
          <w:szCs w:val="22"/>
        </w:rPr>
      </w:pPr>
    </w:p>
    <w:p w14:paraId="135C513D" w14:textId="07FDB28E" w:rsidR="000B0F57" w:rsidRPr="000B0F57" w:rsidRDefault="000B0F57" w:rsidP="000B0F57">
      <w:pPr>
        <w:jc w:val="both"/>
        <w:rPr>
          <w:rFonts w:ascii="Arial" w:hAnsi="Arial" w:cs="Arial"/>
          <w:sz w:val="22"/>
          <w:szCs w:val="22"/>
        </w:rPr>
      </w:pPr>
      <w:r w:rsidRPr="000B0F57">
        <w:rPr>
          <w:rFonts w:ascii="Arial" w:hAnsi="Arial" w:cs="Arial"/>
          <w:sz w:val="22"/>
          <w:szCs w:val="22"/>
        </w:rPr>
        <w:t xml:space="preserve">Relevant examples of </w:t>
      </w:r>
      <w:r w:rsidR="008377E8">
        <w:rPr>
          <w:rFonts w:ascii="Arial" w:hAnsi="Arial" w:cs="Arial"/>
          <w:sz w:val="22"/>
          <w:szCs w:val="22"/>
        </w:rPr>
        <w:t xml:space="preserve">incidents and </w:t>
      </w:r>
      <w:r w:rsidRPr="000B0F57">
        <w:rPr>
          <w:rFonts w:ascii="Arial" w:hAnsi="Arial" w:cs="Arial"/>
          <w:sz w:val="22"/>
          <w:szCs w:val="22"/>
        </w:rPr>
        <w:t>adverse events include:</w:t>
      </w:r>
    </w:p>
    <w:p w14:paraId="57A54084" w14:textId="77777777" w:rsidR="000B0F57" w:rsidRPr="000B0F57" w:rsidRDefault="000B0F57" w:rsidP="000B0F57">
      <w:pPr>
        <w:jc w:val="both"/>
        <w:rPr>
          <w:rFonts w:ascii="Arial" w:hAnsi="Arial" w:cs="Arial"/>
          <w:sz w:val="22"/>
          <w:szCs w:val="22"/>
        </w:rPr>
      </w:pPr>
      <w:r w:rsidRPr="000B0F57">
        <w:rPr>
          <w:rFonts w:ascii="Arial" w:hAnsi="Arial" w:cs="Arial"/>
          <w:sz w:val="22"/>
          <w:szCs w:val="22"/>
        </w:rPr>
        <w:t xml:space="preserve">• specimen </w:t>
      </w:r>
      <w:proofErr w:type="gramStart"/>
      <w:r w:rsidRPr="000B0F57">
        <w:rPr>
          <w:rFonts w:ascii="Arial" w:hAnsi="Arial" w:cs="Arial"/>
          <w:sz w:val="22"/>
          <w:szCs w:val="22"/>
        </w:rPr>
        <w:t>loss;</w:t>
      </w:r>
      <w:proofErr w:type="gramEnd"/>
    </w:p>
    <w:p w14:paraId="79A8D9FF" w14:textId="77777777" w:rsidR="000B0F57" w:rsidRPr="000B0F57" w:rsidRDefault="000B0F57" w:rsidP="000B0F57">
      <w:pPr>
        <w:jc w:val="both"/>
        <w:rPr>
          <w:rFonts w:ascii="Arial" w:hAnsi="Arial" w:cs="Arial"/>
          <w:sz w:val="22"/>
          <w:szCs w:val="22"/>
        </w:rPr>
      </w:pPr>
      <w:r w:rsidRPr="000B0F57">
        <w:rPr>
          <w:rFonts w:ascii="Arial" w:hAnsi="Arial" w:cs="Arial"/>
          <w:sz w:val="22"/>
          <w:szCs w:val="22"/>
        </w:rPr>
        <w:t xml:space="preserve">• missing or incorrect </w:t>
      </w:r>
      <w:proofErr w:type="gramStart"/>
      <w:r w:rsidRPr="000B0F57">
        <w:rPr>
          <w:rFonts w:ascii="Arial" w:hAnsi="Arial" w:cs="Arial"/>
          <w:sz w:val="22"/>
          <w:szCs w:val="22"/>
        </w:rPr>
        <w:t>documentation;</w:t>
      </w:r>
      <w:proofErr w:type="gramEnd"/>
    </w:p>
    <w:p w14:paraId="5DC007DE" w14:textId="77777777" w:rsidR="000B0F57" w:rsidRPr="000B0F57" w:rsidRDefault="000B0F57" w:rsidP="000B0F57">
      <w:pPr>
        <w:jc w:val="both"/>
        <w:rPr>
          <w:rFonts w:ascii="Arial" w:hAnsi="Arial" w:cs="Arial"/>
          <w:sz w:val="22"/>
          <w:szCs w:val="22"/>
        </w:rPr>
      </w:pPr>
      <w:r w:rsidRPr="000B0F57">
        <w:rPr>
          <w:rFonts w:ascii="Arial" w:hAnsi="Arial" w:cs="Arial"/>
          <w:sz w:val="22"/>
          <w:szCs w:val="22"/>
        </w:rPr>
        <w:t xml:space="preserve">• security </w:t>
      </w:r>
      <w:proofErr w:type="gramStart"/>
      <w:r w:rsidRPr="000B0F57">
        <w:rPr>
          <w:rFonts w:ascii="Arial" w:hAnsi="Arial" w:cs="Arial"/>
          <w:sz w:val="22"/>
          <w:szCs w:val="22"/>
        </w:rPr>
        <w:t>breach;</w:t>
      </w:r>
      <w:proofErr w:type="gramEnd"/>
    </w:p>
    <w:p w14:paraId="2AFAAFC8" w14:textId="77777777" w:rsidR="000B0F57" w:rsidRPr="000B0F57" w:rsidRDefault="000B0F57" w:rsidP="000B0F57">
      <w:pPr>
        <w:jc w:val="both"/>
        <w:rPr>
          <w:rFonts w:ascii="Arial" w:hAnsi="Arial" w:cs="Arial"/>
          <w:sz w:val="22"/>
          <w:szCs w:val="22"/>
        </w:rPr>
      </w:pPr>
      <w:r w:rsidRPr="000B0F57">
        <w:rPr>
          <w:rFonts w:ascii="Arial" w:hAnsi="Arial" w:cs="Arial"/>
          <w:sz w:val="22"/>
          <w:szCs w:val="22"/>
        </w:rPr>
        <w:t xml:space="preserve">• abnormalities in storage temperature </w:t>
      </w:r>
      <w:proofErr w:type="gramStart"/>
      <w:r w:rsidRPr="000B0F57">
        <w:rPr>
          <w:rFonts w:ascii="Arial" w:hAnsi="Arial" w:cs="Arial"/>
          <w:sz w:val="22"/>
          <w:szCs w:val="22"/>
        </w:rPr>
        <w:t>readings;</w:t>
      </w:r>
      <w:proofErr w:type="gramEnd"/>
    </w:p>
    <w:p w14:paraId="0ED00777" w14:textId="5BB2F7F0" w:rsidR="00EE73E8" w:rsidRDefault="000B0F57" w:rsidP="000B0F57">
      <w:pPr>
        <w:jc w:val="both"/>
        <w:rPr>
          <w:rFonts w:ascii="Arial" w:hAnsi="Arial" w:cs="Arial"/>
          <w:b/>
          <w:sz w:val="22"/>
          <w:szCs w:val="22"/>
        </w:rPr>
      </w:pPr>
      <w:r w:rsidRPr="000B0F57">
        <w:rPr>
          <w:rFonts w:ascii="Arial" w:hAnsi="Arial" w:cs="Arial"/>
          <w:sz w:val="22"/>
          <w:szCs w:val="22"/>
        </w:rPr>
        <w:t>• inappropriate disposal.</w:t>
      </w:r>
    </w:p>
    <w:p w14:paraId="174D041C" w14:textId="43605772" w:rsidR="00EE73E8" w:rsidRDefault="00EE73E8" w:rsidP="00EE73E8">
      <w:pPr>
        <w:jc w:val="both"/>
        <w:rPr>
          <w:rFonts w:ascii="Arial" w:hAnsi="Arial" w:cs="Arial"/>
          <w:sz w:val="22"/>
          <w:szCs w:val="22"/>
        </w:rPr>
      </w:pPr>
    </w:p>
    <w:p w14:paraId="652C642E" w14:textId="77777777" w:rsidR="00462FDF" w:rsidRPr="00EB2BC4" w:rsidRDefault="00462FDF" w:rsidP="00462FDF">
      <w:pPr>
        <w:jc w:val="both"/>
        <w:rPr>
          <w:rFonts w:ascii="Arial" w:hAnsi="Arial" w:cs="Arial"/>
          <w:sz w:val="22"/>
          <w:szCs w:val="22"/>
        </w:rPr>
      </w:pPr>
      <w:r>
        <w:rPr>
          <w:rFonts w:ascii="Arial" w:hAnsi="Arial" w:cs="Arial"/>
          <w:sz w:val="22"/>
          <w:szCs w:val="22"/>
        </w:rPr>
        <w:t>Following an incident or AE, a</w:t>
      </w:r>
      <w:r w:rsidRPr="00EB2BC4">
        <w:rPr>
          <w:rFonts w:ascii="Arial" w:hAnsi="Arial" w:cs="Arial"/>
          <w:sz w:val="22"/>
          <w:szCs w:val="22"/>
        </w:rPr>
        <w:t xml:space="preserve">dvice should be sought at the earliest opportunity from the Research and Human Tissue Manager and/or the Head of Research Governance. </w:t>
      </w:r>
      <w:r>
        <w:rPr>
          <w:rFonts w:ascii="Arial" w:hAnsi="Arial" w:cs="Arial"/>
          <w:sz w:val="22"/>
          <w:szCs w:val="22"/>
        </w:rPr>
        <w:t xml:space="preserve">Incidents and </w:t>
      </w:r>
      <w:r w:rsidRPr="00EB2BC4">
        <w:rPr>
          <w:rFonts w:ascii="Arial" w:hAnsi="Arial" w:cs="Arial"/>
          <w:sz w:val="22"/>
          <w:szCs w:val="22"/>
        </w:rPr>
        <w:t>AE</w:t>
      </w:r>
      <w:r>
        <w:rPr>
          <w:rFonts w:ascii="Arial" w:hAnsi="Arial" w:cs="Arial"/>
          <w:sz w:val="22"/>
          <w:szCs w:val="22"/>
        </w:rPr>
        <w:t>s,</w:t>
      </w:r>
      <w:r w:rsidRPr="00EB2BC4">
        <w:rPr>
          <w:rFonts w:ascii="Arial" w:hAnsi="Arial" w:cs="Arial"/>
          <w:sz w:val="22"/>
          <w:szCs w:val="22"/>
        </w:rPr>
        <w:t xml:space="preserve"> and regular updates</w:t>
      </w:r>
      <w:r>
        <w:rPr>
          <w:rFonts w:ascii="Arial" w:hAnsi="Arial" w:cs="Arial"/>
          <w:sz w:val="22"/>
          <w:szCs w:val="22"/>
        </w:rPr>
        <w:t xml:space="preserve"> thereof,</w:t>
      </w:r>
      <w:r w:rsidRPr="00EB2BC4">
        <w:rPr>
          <w:rFonts w:ascii="Arial" w:hAnsi="Arial" w:cs="Arial"/>
          <w:sz w:val="22"/>
          <w:szCs w:val="22"/>
        </w:rPr>
        <w:t xml:space="preserve"> should be reported to the HTWG functioning as the expert advisory group and to ensure lessons learned messages are available to all </w:t>
      </w:r>
      <w:proofErr w:type="spellStart"/>
      <w:r w:rsidRPr="00EB2BC4">
        <w:rPr>
          <w:rFonts w:ascii="Arial" w:hAnsi="Arial" w:cs="Arial"/>
          <w:sz w:val="22"/>
          <w:szCs w:val="22"/>
        </w:rPr>
        <w:t>UoB</w:t>
      </w:r>
      <w:proofErr w:type="spellEnd"/>
      <w:r w:rsidRPr="00EB2BC4">
        <w:rPr>
          <w:rFonts w:ascii="Arial" w:hAnsi="Arial" w:cs="Arial"/>
          <w:sz w:val="22"/>
          <w:szCs w:val="22"/>
        </w:rPr>
        <w:t xml:space="preserve"> </w:t>
      </w:r>
      <w:proofErr w:type="spellStart"/>
      <w:r w:rsidRPr="00EB2BC4">
        <w:rPr>
          <w:rFonts w:ascii="Arial" w:hAnsi="Arial" w:cs="Arial"/>
          <w:sz w:val="22"/>
          <w:szCs w:val="22"/>
        </w:rPr>
        <w:t>DIs.</w:t>
      </w:r>
      <w:proofErr w:type="spellEnd"/>
    </w:p>
    <w:p w14:paraId="730C3550" w14:textId="77777777" w:rsidR="00462FDF" w:rsidRDefault="00462FDF" w:rsidP="00462FDF">
      <w:pPr>
        <w:jc w:val="both"/>
        <w:rPr>
          <w:rFonts w:ascii="Arial" w:hAnsi="Arial" w:cs="Arial"/>
          <w:sz w:val="22"/>
          <w:szCs w:val="22"/>
          <w:highlight w:val="yellow"/>
        </w:rPr>
      </w:pPr>
    </w:p>
    <w:p w14:paraId="366640E3" w14:textId="77777777" w:rsidR="00462FDF" w:rsidRDefault="00462FDF" w:rsidP="00462FDF">
      <w:pPr>
        <w:jc w:val="both"/>
        <w:rPr>
          <w:rFonts w:ascii="Arial" w:hAnsi="Arial" w:cs="Arial"/>
          <w:sz w:val="22"/>
          <w:szCs w:val="22"/>
        </w:rPr>
      </w:pPr>
      <w:r>
        <w:rPr>
          <w:rFonts w:ascii="Arial" w:hAnsi="Arial" w:cs="Arial"/>
          <w:sz w:val="22"/>
          <w:szCs w:val="22"/>
        </w:rPr>
        <w:t xml:space="preserve">NHS REC approved studies should report Serious AEs to University Hospitals Bristol and Weston NHS Foundation Trust (UHBW) who manage adverse reporting on behalf of the University in line with a Service Level Agreement. Information should be included in the annual progress report to the NHS REC and other regulatory bodies (as appropriate). A record of Adverse Events should be held in the Study Master File. </w:t>
      </w:r>
    </w:p>
    <w:p w14:paraId="6207866E" w14:textId="77777777" w:rsidR="00462FDF" w:rsidRDefault="00462FDF" w:rsidP="00EE73E8">
      <w:pPr>
        <w:jc w:val="both"/>
        <w:rPr>
          <w:rFonts w:ascii="Arial" w:hAnsi="Arial" w:cs="Arial"/>
          <w:sz w:val="22"/>
          <w:szCs w:val="22"/>
        </w:rPr>
      </w:pPr>
    </w:p>
    <w:p w14:paraId="2988DE22" w14:textId="524E9CA3" w:rsidR="00D07D02" w:rsidRPr="00462FDF" w:rsidRDefault="00D07D02" w:rsidP="00EE73E8">
      <w:pPr>
        <w:jc w:val="both"/>
        <w:rPr>
          <w:rFonts w:ascii="Arial" w:hAnsi="Arial" w:cs="Arial"/>
          <w:i/>
          <w:iCs/>
          <w:sz w:val="22"/>
          <w:szCs w:val="22"/>
        </w:rPr>
      </w:pPr>
      <w:r>
        <w:rPr>
          <w:rFonts w:ascii="Arial" w:hAnsi="Arial" w:cs="Arial"/>
          <w:i/>
          <w:iCs/>
          <w:sz w:val="22"/>
          <w:szCs w:val="22"/>
        </w:rPr>
        <w:t>Risk assessments</w:t>
      </w:r>
    </w:p>
    <w:p w14:paraId="00A36DE2" w14:textId="77777777" w:rsidR="00EE73E8" w:rsidRDefault="00EE73E8" w:rsidP="00EE73E8">
      <w:pPr>
        <w:jc w:val="both"/>
        <w:rPr>
          <w:rFonts w:ascii="Arial" w:hAnsi="Arial" w:cs="Arial"/>
          <w:sz w:val="22"/>
          <w:szCs w:val="22"/>
        </w:rPr>
      </w:pPr>
      <w:r>
        <w:rPr>
          <w:rFonts w:ascii="Arial" w:hAnsi="Arial" w:cs="Arial"/>
          <w:sz w:val="22"/>
          <w:szCs w:val="22"/>
        </w:rPr>
        <w:t xml:space="preserve">There are </w:t>
      </w:r>
      <w:proofErr w:type="gramStart"/>
      <w:r>
        <w:rPr>
          <w:rFonts w:ascii="Arial" w:hAnsi="Arial" w:cs="Arial"/>
          <w:sz w:val="22"/>
          <w:szCs w:val="22"/>
        </w:rPr>
        <w:t>a number of</w:t>
      </w:r>
      <w:proofErr w:type="gramEnd"/>
      <w:r>
        <w:rPr>
          <w:rFonts w:ascii="Arial" w:hAnsi="Arial" w:cs="Arial"/>
          <w:sz w:val="22"/>
          <w:szCs w:val="22"/>
        </w:rPr>
        <w:t xml:space="preserve"> circumstances that could result in </w:t>
      </w:r>
      <w:r w:rsidR="00627C49">
        <w:rPr>
          <w:rFonts w:ascii="Arial" w:hAnsi="Arial" w:cs="Arial"/>
          <w:sz w:val="22"/>
          <w:szCs w:val="22"/>
        </w:rPr>
        <w:t xml:space="preserve">loss or </w:t>
      </w:r>
      <w:r>
        <w:rPr>
          <w:rFonts w:ascii="Arial" w:hAnsi="Arial" w:cs="Arial"/>
          <w:sz w:val="22"/>
          <w:szCs w:val="22"/>
        </w:rPr>
        <w:t>damage to Relevant Material, which should be subject to risk assessment. These may include:</w:t>
      </w:r>
    </w:p>
    <w:p w14:paraId="18BB2410" w14:textId="77777777" w:rsidR="00EE73E8" w:rsidRDefault="00EE73E8" w:rsidP="00EE73E8">
      <w:pPr>
        <w:pStyle w:val="SafeBody"/>
        <w:rPr>
          <w:color w:val="000000"/>
        </w:rPr>
      </w:pPr>
    </w:p>
    <w:p w14:paraId="7511A2B5" w14:textId="77777777" w:rsidR="009B2652" w:rsidRPr="00FD2066" w:rsidRDefault="009B2652" w:rsidP="009B2652">
      <w:pPr>
        <w:pStyle w:val="ListParagraph"/>
        <w:numPr>
          <w:ilvl w:val="0"/>
          <w:numId w:val="11"/>
        </w:numPr>
        <w:rPr>
          <w:sz w:val="22"/>
          <w:szCs w:val="22"/>
        </w:rPr>
      </w:pPr>
      <w:r w:rsidRPr="00FD2066">
        <w:rPr>
          <w:sz w:val="22"/>
          <w:szCs w:val="22"/>
        </w:rPr>
        <w:t xml:space="preserve">receiving and/or storing specimens without appropriate consent </w:t>
      </w:r>
      <w:proofErr w:type="gramStart"/>
      <w:r w:rsidRPr="00FD2066">
        <w:rPr>
          <w:sz w:val="22"/>
          <w:szCs w:val="22"/>
        </w:rPr>
        <w:t>documentation;</w:t>
      </w:r>
      <w:proofErr w:type="gramEnd"/>
    </w:p>
    <w:p w14:paraId="409BF2D7" w14:textId="77777777" w:rsidR="009B2652" w:rsidRPr="00FD2066" w:rsidRDefault="009B2652" w:rsidP="009B2652">
      <w:pPr>
        <w:pStyle w:val="ListParagraph"/>
        <w:numPr>
          <w:ilvl w:val="0"/>
          <w:numId w:val="11"/>
        </w:numPr>
        <w:rPr>
          <w:sz w:val="22"/>
          <w:szCs w:val="22"/>
        </w:rPr>
      </w:pPr>
      <w:r w:rsidRPr="00FD2066">
        <w:rPr>
          <w:sz w:val="22"/>
          <w:szCs w:val="22"/>
        </w:rPr>
        <w:t xml:space="preserve">storing or using human tissue after consent </w:t>
      </w:r>
      <w:proofErr w:type="gramStart"/>
      <w:r w:rsidRPr="00FD2066">
        <w:rPr>
          <w:sz w:val="22"/>
          <w:szCs w:val="22"/>
        </w:rPr>
        <w:t>withdrawal;</w:t>
      </w:r>
      <w:proofErr w:type="gramEnd"/>
    </w:p>
    <w:p w14:paraId="39BFE9F6" w14:textId="77777777" w:rsidR="009B2652" w:rsidRPr="00FD2066" w:rsidRDefault="009B2652" w:rsidP="009B2652">
      <w:pPr>
        <w:pStyle w:val="ListParagraph"/>
        <w:numPr>
          <w:ilvl w:val="0"/>
          <w:numId w:val="11"/>
        </w:numPr>
        <w:rPr>
          <w:sz w:val="22"/>
          <w:szCs w:val="22"/>
        </w:rPr>
      </w:pPr>
      <w:r w:rsidRPr="00FD2066">
        <w:rPr>
          <w:sz w:val="22"/>
          <w:szCs w:val="22"/>
        </w:rPr>
        <w:t xml:space="preserve">storage failure or other damage affecting human tissue quality for useful </w:t>
      </w:r>
      <w:proofErr w:type="gramStart"/>
      <w:r w:rsidRPr="00FD2066">
        <w:rPr>
          <w:sz w:val="22"/>
          <w:szCs w:val="22"/>
        </w:rPr>
        <w:t>research;</w:t>
      </w:r>
      <w:proofErr w:type="gramEnd"/>
      <w:r w:rsidRPr="00FD2066">
        <w:rPr>
          <w:sz w:val="22"/>
          <w:szCs w:val="22"/>
        </w:rPr>
        <w:t xml:space="preserve"> </w:t>
      </w:r>
    </w:p>
    <w:p w14:paraId="127F63A1" w14:textId="77777777" w:rsidR="009B2652" w:rsidRPr="00FD2066" w:rsidRDefault="009B2652" w:rsidP="009B2652">
      <w:pPr>
        <w:pStyle w:val="ListParagraph"/>
        <w:numPr>
          <w:ilvl w:val="0"/>
          <w:numId w:val="11"/>
        </w:numPr>
        <w:rPr>
          <w:sz w:val="22"/>
          <w:szCs w:val="22"/>
        </w:rPr>
      </w:pPr>
      <w:r w:rsidRPr="00FD2066">
        <w:rPr>
          <w:sz w:val="22"/>
          <w:szCs w:val="22"/>
        </w:rPr>
        <w:t xml:space="preserve">storage of anatomical specimens and contingency </w:t>
      </w:r>
      <w:proofErr w:type="gramStart"/>
      <w:r w:rsidRPr="00FD2066">
        <w:rPr>
          <w:sz w:val="22"/>
          <w:szCs w:val="22"/>
        </w:rPr>
        <w:t>arrangements;</w:t>
      </w:r>
      <w:proofErr w:type="gramEnd"/>
    </w:p>
    <w:p w14:paraId="3C1DC220" w14:textId="77777777" w:rsidR="009B2652" w:rsidRPr="00FD2066" w:rsidRDefault="009B2652" w:rsidP="009B2652">
      <w:pPr>
        <w:pStyle w:val="ListParagraph"/>
        <w:numPr>
          <w:ilvl w:val="0"/>
          <w:numId w:val="11"/>
        </w:numPr>
        <w:rPr>
          <w:sz w:val="22"/>
          <w:szCs w:val="22"/>
        </w:rPr>
      </w:pPr>
      <w:r w:rsidRPr="00FD2066">
        <w:rPr>
          <w:sz w:val="22"/>
          <w:szCs w:val="22"/>
        </w:rPr>
        <w:t>loss of or damage to human tissue/</w:t>
      </w:r>
      <w:proofErr w:type="gramStart"/>
      <w:r w:rsidRPr="00FD2066">
        <w:rPr>
          <w:sz w:val="22"/>
          <w:szCs w:val="22"/>
        </w:rPr>
        <w:t>specimens;</w:t>
      </w:r>
      <w:proofErr w:type="gramEnd"/>
    </w:p>
    <w:p w14:paraId="5CAD06A9" w14:textId="77777777" w:rsidR="009B2652" w:rsidRPr="00FD2066" w:rsidRDefault="009B2652" w:rsidP="009B2652">
      <w:pPr>
        <w:pStyle w:val="ListParagraph"/>
        <w:numPr>
          <w:ilvl w:val="0"/>
          <w:numId w:val="11"/>
        </w:numPr>
        <w:rPr>
          <w:sz w:val="22"/>
          <w:szCs w:val="22"/>
        </w:rPr>
      </w:pPr>
      <w:r w:rsidRPr="00FD2066">
        <w:rPr>
          <w:sz w:val="22"/>
          <w:szCs w:val="22"/>
        </w:rPr>
        <w:t xml:space="preserve">sample mix-up or loss of </w:t>
      </w:r>
      <w:proofErr w:type="gramStart"/>
      <w:r w:rsidRPr="00FD2066">
        <w:rPr>
          <w:sz w:val="22"/>
          <w:szCs w:val="22"/>
        </w:rPr>
        <w:t>traceability;</w:t>
      </w:r>
      <w:proofErr w:type="gramEnd"/>
    </w:p>
    <w:p w14:paraId="74E574B5" w14:textId="77777777" w:rsidR="009B2652" w:rsidRPr="00FD2066" w:rsidRDefault="009B2652" w:rsidP="009B2652">
      <w:pPr>
        <w:pStyle w:val="ListParagraph"/>
        <w:numPr>
          <w:ilvl w:val="0"/>
          <w:numId w:val="11"/>
        </w:numPr>
        <w:rPr>
          <w:sz w:val="22"/>
          <w:szCs w:val="22"/>
        </w:rPr>
      </w:pPr>
      <w:r w:rsidRPr="00FD2066">
        <w:rPr>
          <w:sz w:val="22"/>
          <w:szCs w:val="22"/>
        </w:rPr>
        <w:t xml:space="preserve">transport of specimens to and from the </w:t>
      </w:r>
      <w:proofErr w:type="gramStart"/>
      <w:r w:rsidRPr="00FD2066">
        <w:rPr>
          <w:sz w:val="22"/>
          <w:szCs w:val="22"/>
        </w:rPr>
        <w:t>establishment ;</w:t>
      </w:r>
      <w:proofErr w:type="gramEnd"/>
    </w:p>
    <w:p w14:paraId="21BB3280" w14:textId="77777777" w:rsidR="009B2652" w:rsidRPr="00FD2066" w:rsidRDefault="009B2652" w:rsidP="009B2652">
      <w:pPr>
        <w:pStyle w:val="ListParagraph"/>
        <w:numPr>
          <w:ilvl w:val="0"/>
          <w:numId w:val="11"/>
        </w:numPr>
        <w:rPr>
          <w:sz w:val="22"/>
          <w:szCs w:val="22"/>
        </w:rPr>
      </w:pPr>
      <w:r w:rsidRPr="00FD2066">
        <w:rPr>
          <w:sz w:val="22"/>
          <w:szCs w:val="22"/>
        </w:rPr>
        <w:t>security arrangements</w:t>
      </w:r>
    </w:p>
    <w:p w14:paraId="258D1DF6" w14:textId="1774D617" w:rsidR="009B2652" w:rsidRDefault="009B2652" w:rsidP="009B2652">
      <w:pPr>
        <w:pStyle w:val="ListParagraph"/>
        <w:numPr>
          <w:ilvl w:val="0"/>
          <w:numId w:val="11"/>
        </w:numPr>
        <w:rPr>
          <w:sz w:val="22"/>
          <w:szCs w:val="22"/>
        </w:rPr>
      </w:pPr>
      <w:r w:rsidRPr="00FD2066">
        <w:rPr>
          <w:sz w:val="22"/>
          <w:szCs w:val="22"/>
        </w:rPr>
        <w:t>incorrect/inappropriate disposal</w:t>
      </w:r>
    </w:p>
    <w:p w14:paraId="2496831D" w14:textId="77777777" w:rsidR="00EE73E8" w:rsidRDefault="00EE73E8" w:rsidP="0046413F">
      <w:pPr>
        <w:tabs>
          <w:tab w:val="left" w:pos="960"/>
        </w:tabs>
        <w:autoSpaceDE w:val="0"/>
        <w:autoSpaceDN w:val="0"/>
        <w:adjustRightInd w:val="0"/>
        <w:ind w:left="720"/>
        <w:jc w:val="both"/>
        <w:rPr>
          <w:rFonts w:ascii="Arial" w:eastAsia="SimSun" w:hAnsi="Arial" w:cs="Courier New"/>
          <w:color w:val="000000"/>
          <w:sz w:val="22"/>
          <w:szCs w:val="22"/>
          <w:lang w:eastAsia="zh-CN"/>
        </w:rPr>
      </w:pPr>
    </w:p>
    <w:p w14:paraId="3D30BA8A" w14:textId="77777777" w:rsidR="00EE73E8" w:rsidRDefault="00EE73E8" w:rsidP="00EB2BC4">
      <w:pPr>
        <w:rPr>
          <w:rFonts w:ascii="Arial" w:hAnsi="Arial" w:cs="Arial"/>
          <w:sz w:val="22"/>
          <w:szCs w:val="22"/>
        </w:rPr>
      </w:pPr>
      <w:r>
        <w:rPr>
          <w:rFonts w:ascii="Arial" w:hAnsi="Arial" w:cs="Arial"/>
          <w:sz w:val="22"/>
          <w:szCs w:val="22"/>
        </w:rPr>
        <w:t>This section of the Code of Practice should be read in conjunction with the following documentation</w:t>
      </w:r>
      <w:r w:rsidR="00D42745">
        <w:rPr>
          <w:rFonts w:ascii="Arial" w:hAnsi="Arial" w:cs="Arial"/>
          <w:sz w:val="22"/>
          <w:szCs w:val="22"/>
        </w:rPr>
        <w:t>:</w:t>
      </w:r>
    </w:p>
    <w:p w14:paraId="11711328" w14:textId="1B8C1A86" w:rsidR="00D42745" w:rsidRPr="008C1E51" w:rsidRDefault="00892476" w:rsidP="00EB2BC4">
      <w:pPr>
        <w:numPr>
          <w:ilvl w:val="0"/>
          <w:numId w:val="12"/>
        </w:numPr>
        <w:rPr>
          <w:rFonts w:ascii="Arial" w:hAnsi="Arial" w:cs="Arial"/>
          <w:sz w:val="22"/>
          <w:szCs w:val="22"/>
        </w:rPr>
      </w:pPr>
      <w:hyperlink r:id="rId29" w:history="1">
        <w:r w:rsidR="00F67034" w:rsidRPr="00892476">
          <w:rPr>
            <w:rStyle w:val="Hyperlink"/>
            <w:rFonts w:ascii="Arial" w:hAnsi="Arial" w:cs="Arial"/>
            <w:sz w:val="22"/>
            <w:szCs w:val="22"/>
          </w:rPr>
          <w:t>Health and safety policies</w:t>
        </w:r>
        <w:r w:rsidR="00F67034" w:rsidRPr="00892476">
          <w:rPr>
            <w:rStyle w:val="Hyperlink"/>
            <w:rFonts w:ascii="Arial" w:hAnsi="Arial" w:cs="Arial"/>
            <w:sz w:val="22"/>
            <w:szCs w:val="22"/>
          </w:rPr>
          <w:t>,</w:t>
        </w:r>
        <w:r w:rsidR="00F67034" w:rsidRPr="00892476">
          <w:rPr>
            <w:rStyle w:val="Hyperlink"/>
            <w:rFonts w:ascii="Arial" w:hAnsi="Arial" w:cs="Arial"/>
            <w:sz w:val="22"/>
            <w:szCs w:val="22"/>
          </w:rPr>
          <w:t xml:space="preserve"> </w:t>
        </w:r>
        <w:proofErr w:type="gramStart"/>
        <w:r w:rsidR="00F67034" w:rsidRPr="00892476">
          <w:rPr>
            <w:rStyle w:val="Hyperlink"/>
            <w:rFonts w:ascii="Arial" w:hAnsi="Arial" w:cs="Arial"/>
            <w:sz w:val="22"/>
            <w:szCs w:val="22"/>
          </w:rPr>
          <w:t>responsibilities</w:t>
        </w:r>
        <w:proofErr w:type="gramEnd"/>
        <w:r w:rsidR="00F67034" w:rsidRPr="00892476">
          <w:rPr>
            <w:rStyle w:val="Hyperlink"/>
            <w:rFonts w:ascii="Arial" w:hAnsi="Arial" w:cs="Arial"/>
            <w:sz w:val="22"/>
            <w:szCs w:val="22"/>
          </w:rPr>
          <w:t xml:space="preserve"> and organisation</w:t>
        </w:r>
      </w:hyperlink>
      <w:r w:rsidR="00F67034" w:rsidRPr="00F67034">
        <w:rPr>
          <w:rFonts w:ascii="Arial" w:hAnsi="Arial" w:cs="Arial"/>
          <w:color w:val="000000"/>
          <w:sz w:val="22"/>
          <w:szCs w:val="22"/>
        </w:rPr>
        <w:t xml:space="preserve"> </w:t>
      </w:r>
    </w:p>
    <w:p w14:paraId="39F8A2E6" w14:textId="24E3DE6D" w:rsidR="00EE73E8" w:rsidRPr="00F67034" w:rsidRDefault="00892476" w:rsidP="00EB2BC4">
      <w:pPr>
        <w:numPr>
          <w:ilvl w:val="0"/>
          <w:numId w:val="12"/>
        </w:numPr>
        <w:rPr>
          <w:rFonts w:ascii="Arial" w:hAnsi="Arial" w:cs="Arial"/>
          <w:sz w:val="22"/>
          <w:szCs w:val="22"/>
        </w:rPr>
      </w:pPr>
      <w:hyperlink r:id="rId30" w:history="1">
        <w:r w:rsidR="00EE73E8" w:rsidRPr="00892476">
          <w:rPr>
            <w:rStyle w:val="Hyperlink"/>
            <w:rFonts w:ascii="Arial" w:hAnsi="Arial" w:cs="Arial"/>
            <w:sz w:val="22"/>
            <w:szCs w:val="22"/>
          </w:rPr>
          <w:t xml:space="preserve">University </w:t>
        </w:r>
        <w:r w:rsidR="00F67034" w:rsidRPr="00892476">
          <w:rPr>
            <w:rStyle w:val="Hyperlink"/>
            <w:rFonts w:ascii="Arial" w:hAnsi="Arial" w:cs="Arial"/>
            <w:sz w:val="22"/>
            <w:szCs w:val="22"/>
          </w:rPr>
          <w:t xml:space="preserve">Safety and </w:t>
        </w:r>
        <w:r w:rsidR="00EE73E8" w:rsidRPr="00892476">
          <w:rPr>
            <w:rStyle w:val="Hyperlink"/>
            <w:rFonts w:ascii="Arial" w:hAnsi="Arial" w:cs="Arial"/>
            <w:sz w:val="22"/>
            <w:szCs w:val="22"/>
          </w:rPr>
          <w:t>He</w:t>
        </w:r>
        <w:r w:rsidR="00EE73E8" w:rsidRPr="00892476">
          <w:rPr>
            <w:rStyle w:val="Hyperlink"/>
            <w:rFonts w:ascii="Arial" w:hAnsi="Arial" w:cs="Arial"/>
            <w:sz w:val="22"/>
            <w:szCs w:val="22"/>
          </w:rPr>
          <w:t>a</w:t>
        </w:r>
        <w:r w:rsidR="00EE73E8" w:rsidRPr="00892476">
          <w:rPr>
            <w:rStyle w:val="Hyperlink"/>
            <w:rFonts w:ascii="Arial" w:hAnsi="Arial" w:cs="Arial"/>
            <w:sz w:val="22"/>
            <w:szCs w:val="22"/>
          </w:rPr>
          <w:t>lth</w:t>
        </w:r>
        <w:r w:rsidR="00F67034" w:rsidRPr="00892476">
          <w:rPr>
            <w:rStyle w:val="Hyperlink"/>
            <w:rFonts w:ascii="Arial" w:hAnsi="Arial" w:cs="Arial"/>
            <w:sz w:val="22"/>
            <w:szCs w:val="22"/>
          </w:rPr>
          <w:t xml:space="preserve"> Services policies and guidance</w:t>
        </w:r>
      </w:hyperlink>
      <w:r w:rsidR="00953506">
        <w:rPr>
          <w:rFonts w:ascii="Arial" w:hAnsi="Arial" w:cs="Arial"/>
          <w:sz w:val="22"/>
          <w:szCs w:val="22"/>
        </w:rPr>
        <w:t xml:space="preserve"> </w:t>
      </w:r>
      <w:r w:rsidR="00EE73E8" w:rsidRPr="00F67034">
        <w:rPr>
          <w:rFonts w:ascii="Arial" w:hAnsi="Arial" w:cs="Arial"/>
          <w:sz w:val="22"/>
          <w:szCs w:val="22"/>
        </w:rPr>
        <w:t xml:space="preserve"> </w:t>
      </w:r>
    </w:p>
    <w:p w14:paraId="128E2255" w14:textId="59202BA1" w:rsidR="00EE73E8" w:rsidRDefault="00892476" w:rsidP="00EB2BC4">
      <w:pPr>
        <w:numPr>
          <w:ilvl w:val="0"/>
          <w:numId w:val="12"/>
        </w:numPr>
        <w:rPr>
          <w:rFonts w:ascii="Arial" w:hAnsi="Arial" w:cs="Arial"/>
          <w:sz w:val="22"/>
          <w:szCs w:val="22"/>
        </w:rPr>
      </w:pPr>
      <w:hyperlink r:id="rId31" w:history="1">
        <w:r w:rsidR="00EE73E8" w:rsidRPr="00892476">
          <w:rPr>
            <w:rStyle w:val="Hyperlink"/>
            <w:rFonts w:ascii="Arial" w:hAnsi="Arial" w:cs="Arial"/>
            <w:sz w:val="22"/>
            <w:szCs w:val="22"/>
          </w:rPr>
          <w:t xml:space="preserve">University/local policy </w:t>
        </w:r>
        <w:r w:rsidR="0043202A" w:rsidRPr="00892476">
          <w:rPr>
            <w:rStyle w:val="Hyperlink"/>
            <w:rFonts w:ascii="Arial" w:hAnsi="Arial" w:cs="Arial"/>
            <w:sz w:val="22"/>
            <w:szCs w:val="22"/>
          </w:rPr>
          <w:t>gu</w:t>
        </w:r>
        <w:r w:rsidR="0043202A" w:rsidRPr="00892476">
          <w:rPr>
            <w:rStyle w:val="Hyperlink"/>
            <w:rFonts w:ascii="Arial" w:hAnsi="Arial" w:cs="Arial"/>
            <w:sz w:val="22"/>
            <w:szCs w:val="22"/>
          </w:rPr>
          <w:t>i</w:t>
        </w:r>
        <w:r w:rsidR="0043202A" w:rsidRPr="00892476">
          <w:rPr>
            <w:rStyle w:val="Hyperlink"/>
            <w:rFonts w:ascii="Arial" w:hAnsi="Arial" w:cs="Arial"/>
            <w:sz w:val="22"/>
            <w:szCs w:val="22"/>
          </w:rPr>
          <w:t xml:space="preserve">dance </w:t>
        </w:r>
        <w:r w:rsidR="00EE73E8" w:rsidRPr="00892476">
          <w:rPr>
            <w:rStyle w:val="Hyperlink"/>
            <w:rFonts w:ascii="Arial" w:hAnsi="Arial" w:cs="Arial"/>
            <w:sz w:val="22"/>
            <w:szCs w:val="22"/>
          </w:rPr>
          <w:t>on lone working</w:t>
        </w:r>
      </w:hyperlink>
    </w:p>
    <w:p w14:paraId="71C7C302" w14:textId="77777777" w:rsidR="00EE73E8" w:rsidRDefault="00EE73E8" w:rsidP="00EB2BC4">
      <w:pPr>
        <w:numPr>
          <w:ilvl w:val="0"/>
          <w:numId w:val="12"/>
        </w:numPr>
        <w:rPr>
          <w:rFonts w:ascii="Arial" w:hAnsi="Arial" w:cs="Arial"/>
          <w:sz w:val="22"/>
          <w:szCs w:val="22"/>
        </w:rPr>
      </w:pPr>
      <w:r>
        <w:rPr>
          <w:rFonts w:ascii="Arial" w:hAnsi="Arial" w:cs="Arial"/>
          <w:sz w:val="22"/>
          <w:szCs w:val="22"/>
        </w:rPr>
        <w:t>Licence exit strategy</w:t>
      </w:r>
    </w:p>
    <w:p w14:paraId="17912368" w14:textId="77777777" w:rsidR="00EE73E8" w:rsidRDefault="00EE73E8" w:rsidP="00EB2BC4">
      <w:pPr>
        <w:numPr>
          <w:ilvl w:val="0"/>
          <w:numId w:val="12"/>
        </w:numPr>
        <w:rPr>
          <w:rFonts w:ascii="Arial" w:hAnsi="Arial" w:cs="Arial"/>
          <w:sz w:val="22"/>
          <w:szCs w:val="22"/>
        </w:rPr>
      </w:pPr>
      <w:r>
        <w:rPr>
          <w:rFonts w:ascii="Arial" w:hAnsi="Arial" w:cs="Arial"/>
          <w:sz w:val="22"/>
          <w:szCs w:val="22"/>
        </w:rPr>
        <w:t>Any relevant regulatory alerts from the HTA</w:t>
      </w:r>
    </w:p>
    <w:p w14:paraId="3608140A" w14:textId="77777777" w:rsidR="00EE73E8" w:rsidRDefault="00EE73E8" w:rsidP="00EE73E8">
      <w:pPr>
        <w:rPr>
          <w:rFonts w:ascii="Arial" w:hAnsi="Arial" w:cs="Arial"/>
          <w:b/>
          <w:sz w:val="22"/>
          <w:szCs w:val="22"/>
        </w:rPr>
      </w:pPr>
    </w:p>
    <w:p w14:paraId="775EC7A4" w14:textId="77777777" w:rsidR="00166EFD" w:rsidRPr="00EB2BC4" w:rsidRDefault="00166EFD">
      <w:pPr>
        <w:jc w:val="both"/>
        <w:rPr>
          <w:rFonts w:ascii="Arial" w:hAnsi="Arial" w:cs="Arial"/>
          <w:sz w:val="22"/>
          <w:szCs w:val="22"/>
          <w:highlight w:val="yellow"/>
        </w:rPr>
      </w:pPr>
    </w:p>
    <w:p w14:paraId="24180BDE" w14:textId="77777777" w:rsidR="00EE73E8" w:rsidRPr="002B7AD4" w:rsidRDefault="00EE73E8" w:rsidP="007962C8">
      <w:pPr>
        <w:numPr>
          <w:ilvl w:val="0"/>
          <w:numId w:val="34"/>
        </w:numPr>
        <w:rPr>
          <w:rFonts w:ascii="Arial" w:hAnsi="Arial" w:cs="Arial"/>
          <w:b/>
        </w:rPr>
      </w:pPr>
      <w:r w:rsidRPr="002B7AD4">
        <w:rPr>
          <w:rFonts w:ascii="Arial" w:hAnsi="Arial" w:cs="Arial"/>
          <w:b/>
        </w:rPr>
        <w:t>Internal audits</w:t>
      </w:r>
    </w:p>
    <w:p w14:paraId="498C134C" w14:textId="77777777" w:rsidR="00EE73E8" w:rsidRDefault="00EE73E8" w:rsidP="00EE73E8">
      <w:pPr>
        <w:rPr>
          <w:rFonts w:ascii="Arial" w:hAnsi="Arial" w:cs="Arial"/>
          <w:b/>
          <w:sz w:val="22"/>
          <w:szCs w:val="22"/>
        </w:rPr>
      </w:pPr>
    </w:p>
    <w:p w14:paraId="1DCD27AC" w14:textId="3D3A8DC0" w:rsidR="00EE73E8" w:rsidRDefault="00EE73E8" w:rsidP="00EE73E8">
      <w:pPr>
        <w:jc w:val="both"/>
        <w:rPr>
          <w:rFonts w:ascii="Arial" w:hAnsi="Arial" w:cs="Arial"/>
          <w:sz w:val="22"/>
          <w:szCs w:val="22"/>
        </w:rPr>
      </w:pPr>
      <w:r>
        <w:rPr>
          <w:rFonts w:ascii="Arial" w:hAnsi="Arial" w:cs="Arial"/>
          <w:sz w:val="22"/>
          <w:szCs w:val="22"/>
        </w:rPr>
        <w:t xml:space="preserve">The University has initiated an internal audit programme of its licensed premises. </w:t>
      </w:r>
      <w:r>
        <w:rPr>
          <w:rFonts w:ascii="Arial" w:hAnsi="Arial" w:cs="Arial"/>
          <w:bCs/>
          <w:sz w:val="22"/>
          <w:szCs w:val="22"/>
        </w:rPr>
        <w:t>DIs will cross audit other licensed premises in accordance with this programme</w:t>
      </w:r>
      <w:r>
        <w:rPr>
          <w:rFonts w:ascii="Arial" w:hAnsi="Arial" w:cs="Arial"/>
          <w:sz w:val="22"/>
          <w:szCs w:val="22"/>
        </w:rPr>
        <w:t xml:space="preserve">. The audit programme can be found </w:t>
      </w:r>
      <w:r w:rsidR="00892476">
        <w:rPr>
          <w:rFonts w:ascii="Arial" w:hAnsi="Arial" w:cs="Arial"/>
          <w:sz w:val="22"/>
          <w:szCs w:val="22"/>
        </w:rPr>
        <w:t xml:space="preserve">on the </w:t>
      </w:r>
      <w:hyperlink r:id="rId32" w:history="1">
        <w:r w:rsidR="00892476" w:rsidRPr="00892476">
          <w:rPr>
            <w:rStyle w:val="Hyperlink"/>
            <w:rFonts w:ascii="Arial" w:hAnsi="Arial" w:cs="Arial"/>
            <w:sz w:val="22"/>
            <w:szCs w:val="22"/>
          </w:rPr>
          <w:t>HTWG we</w:t>
        </w:r>
        <w:r w:rsidR="00892476" w:rsidRPr="00892476">
          <w:rPr>
            <w:rStyle w:val="Hyperlink"/>
            <w:rFonts w:ascii="Arial" w:hAnsi="Arial" w:cs="Arial"/>
            <w:sz w:val="22"/>
            <w:szCs w:val="22"/>
          </w:rPr>
          <w:t>b</w:t>
        </w:r>
        <w:r w:rsidR="00892476" w:rsidRPr="00892476">
          <w:rPr>
            <w:rStyle w:val="Hyperlink"/>
            <w:rFonts w:ascii="Arial" w:hAnsi="Arial" w:cs="Arial"/>
            <w:sz w:val="22"/>
            <w:szCs w:val="22"/>
          </w:rPr>
          <w:t>pages</w:t>
        </w:r>
      </w:hyperlink>
      <w:r w:rsidR="00892476">
        <w:rPr>
          <w:rFonts w:ascii="Arial" w:hAnsi="Arial" w:cs="Arial"/>
          <w:sz w:val="22"/>
          <w:szCs w:val="22"/>
        </w:rPr>
        <w:t>.</w:t>
      </w:r>
    </w:p>
    <w:p w14:paraId="266FDB78" w14:textId="77777777" w:rsidR="00EE73E8" w:rsidRDefault="00EE73E8" w:rsidP="00EE73E8">
      <w:pPr>
        <w:jc w:val="both"/>
        <w:rPr>
          <w:rFonts w:ascii="Arial" w:hAnsi="Arial" w:cs="Arial"/>
          <w:sz w:val="22"/>
          <w:szCs w:val="22"/>
        </w:rPr>
      </w:pPr>
    </w:p>
    <w:p w14:paraId="2C434291" w14:textId="77777777" w:rsidR="00EE73E8" w:rsidRDefault="00EE73E8" w:rsidP="00EE73E8">
      <w:pPr>
        <w:jc w:val="both"/>
        <w:rPr>
          <w:rFonts w:ascii="Arial" w:hAnsi="Arial" w:cs="Arial"/>
          <w:sz w:val="22"/>
          <w:szCs w:val="22"/>
        </w:rPr>
      </w:pPr>
      <w:r>
        <w:rPr>
          <w:rFonts w:ascii="Arial" w:hAnsi="Arial" w:cs="Arial"/>
          <w:sz w:val="22"/>
          <w:szCs w:val="22"/>
        </w:rPr>
        <w:t>The objectives of the internal audits will be to:</w:t>
      </w:r>
    </w:p>
    <w:p w14:paraId="2B5D8274" w14:textId="77777777" w:rsidR="00EE73E8" w:rsidRDefault="00EE73E8" w:rsidP="007962C8">
      <w:pPr>
        <w:numPr>
          <w:ilvl w:val="0"/>
          <w:numId w:val="10"/>
        </w:numPr>
        <w:jc w:val="both"/>
        <w:rPr>
          <w:rFonts w:ascii="Arial" w:hAnsi="Arial" w:cs="Arial"/>
          <w:sz w:val="22"/>
          <w:szCs w:val="22"/>
        </w:rPr>
      </w:pPr>
      <w:r>
        <w:rPr>
          <w:rFonts w:ascii="Arial" w:hAnsi="Arial" w:cs="Arial"/>
          <w:sz w:val="22"/>
          <w:szCs w:val="22"/>
        </w:rPr>
        <w:t xml:space="preserve">ensure the activities on the premises comply with the HT Act, the Regulations and HTA </w:t>
      </w:r>
      <w:proofErr w:type="gramStart"/>
      <w:r>
        <w:rPr>
          <w:rFonts w:ascii="Arial" w:hAnsi="Arial" w:cs="Arial"/>
          <w:sz w:val="22"/>
          <w:szCs w:val="22"/>
        </w:rPr>
        <w:t>Codes;</w:t>
      </w:r>
      <w:proofErr w:type="gramEnd"/>
    </w:p>
    <w:p w14:paraId="3D626472" w14:textId="29534D7B" w:rsidR="00EE73E8" w:rsidRDefault="00EE73E8" w:rsidP="007962C8">
      <w:pPr>
        <w:numPr>
          <w:ilvl w:val="0"/>
          <w:numId w:val="10"/>
        </w:numPr>
        <w:jc w:val="both"/>
        <w:rPr>
          <w:rFonts w:ascii="Arial" w:hAnsi="Arial" w:cs="Arial"/>
          <w:sz w:val="22"/>
          <w:szCs w:val="22"/>
        </w:rPr>
      </w:pPr>
      <w:r>
        <w:rPr>
          <w:rFonts w:ascii="Arial" w:hAnsi="Arial" w:cs="Arial"/>
          <w:sz w:val="22"/>
          <w:szCs w:val="22"/>
        </w:rPr>
        <w:t xml:space="preserve">identify good practice that could be shared with </w:t>
      </w:r>
      <w:proofErr w:type="gramStart"/>
      <w:r>
        <w:rPr>
          <w:rFonts w:ascii="Arial" w:hAnsi="Arial" w:cs="Arial"/>
          <w:sz w:val="22"/>
          <w:szCs w:val="22"/>
        </w:rPr>
        <w:t>others</w:t>
      </w:r>
      <w:r w:rsidR="009C182A">
        <w:rPr>
          <w:rFonts w:ascii="Arial" w:hAnsi="Arial" w:cs="Arial"/>
          <w:sz w:val="22"/>
          <w:szCs w:val="22"/>
        </w:rPr>
        <w:t>;</w:t>
      </w:r>
      <w:proofErr w:type="gramEnd"/>
    </w:p>
    <w:p w14:paraId="02B44E1F" w14:textId="77777777" w:rsidR="00EE73E8" w:rsidRPr="0015284A" w:rsidRDefault="00EE73E8" w:rsidP="007962C8">
      <w:pPr>
        <w:numPr>
          <w:ilvl w:val="0"/>
          <w:numId w:val="10"/>
        </w:numPr>
        <w:jc w:val="both"/>
        <w:rPr>
          <w:rFonts w:ascii="Arial" w:hAnsi="Arial" w:cs="Arial"/>
          <w:sz w:val="22"/>
          <w:szCs w:val="22"/>
        </w:rPr>
      </w:pPr>
      <w:r>
        <w:rPr>
          <w:rFonts w:ascii="Arial" w:hAnsi="Arial" w:cs="Arial"/>
          <w:sz w:val="22"/>
          <w:szCs w:val="22"/>
        </w:rPr>
        <w:t xml:space="preserve">identify practices that should be changed or improved with a plan for corrective and preventative actions that includes </w:t>
      </w:r>
      <w:r w:rsidRPr="0015284A">
        <w:rPr>
          <w:rFonts w:ascii="Arial" w:hAnsi="Arial" w:cs="Arial"/>
          <w:sz w:val="22"/>
          <w:szCs w:val="22"/>
        </w:rPr>
        <w:t>training and resource requirements.</w:t>
      </w:r>
    </w:p>
    <w:p w14:paraId="5A25B388" w14:textId="77777777" w:rsidR="00EE73E8" w:rsidRPr="0015284A" w:rsidRDefault="00EE73E8" w:rsidP="00EE73E8">
      <w:pPr>
        <w:jc w:val="both"/>
        <w:rPr>
          <w:rFonts w:ascii="Arial" w:hAnsi="Arial" w:cs="Arial"/>
          <w:sz w:val="22"/>
          <w:szCs w:val="22"/>
        </w:rPr>
      </w:pPr>
    </w:p>
    <w:p w14:paraId="7365520E" w14:textId="77777777" w:rsidR="00EE73E8" w:rsidRPr="0015284A" w:rsidRDefault="003A3138" w:rsidP="0094048E">
      <w:pPr>
        <w:jc w:val="both"/>
        <w:rPr>
          <w:rFonts w:ascii="Arial" w:hAnsi="Arial" w:cs="Arial"/>
          <w:sz w:val="22"/>
          <w:szCs w:val="22"/>
        </w:rPr>
      </w:pPr>
      <w:r>
        <w:rPr>
          <w:rFonts w:ascii="Arial" w:hAnsi="Arial" w:cs="Arial"/>
          <w:sz w:val="22"/>
          <w:szCs w:val="22"/>
        </w:rPr>
        <w:t>Where</w:t>
      </w:r>
      <w:r w:rsidR="00EE73E8" w:rsidRPr="0015284A">
        <w:rPr>
          <w:rFonts w:ascii="Arial" w:hAnsi="Arial" w:cs="Arial"/>
          <w:sz w:val="22"/>
          <w:szCs w:val="22"/>
        </w:rPr>
        <w:t xml:space="preserve"> possible the audits will mirror HTA inspections in terms of process and scope.</w:t>
      </w:r>
      <w:r w:rsidR="0094048E">
        <w:rPr>
          <w:rFonts w:ascii="Arial" w:hAnsi="Arial" w:cs="Arial"/>
          <w:sz w:val="22"/>
          <w:szCs w:val="22"/>
        </w:rPr>
        <w:t xml:space="preserve"> The c</w:t>
      </w:r>
      <w:r w:rsidR="0094048E" w:rsidRPr="0094048E">
        <w:rPr>
          <w:rFonts w:ascii="Arial" w:hAnsi="Arial" w:cs="Arial"/>
          <w:sz w:val="22"/>
          <w:szCs w:val="22"/>
        </w:rPr>
        <w:t xml:space="preserve">losure </w:t>
      </w:r>
      <w:r w:rsidR="0094048E">
        <w:rPr>
          <w:rFonts w:ascii="Arial" w:hAnsi="Arial" w:cs="Arial"/>
          <w:sz w:val="22"/>
          <w:szCs w:val="22"/>
        </w:rPr>
        <w:t xml:space="preserve">and </w:t>
      </w:r>
      <w:r w:rsidR="0094048E" w:rsidRPr="0094048E">
        <w:rPr>
          <w:rFonts w:ascii="Arial" w:hAnsi="Arial" w:cs="Arial"/>
          <w:sz w:val="22"/>
          <w:szCs w:val="22"/>
        </w:rPr>
        <w:t xml:space="preserve">progress against actions </w:t>
      </w:r>
      <w:r w:rsidR="0094048E">
        <w:rPr>
          <w:rFonts w:ascii="Arial" w:hAnsi="Arial" w:cs="Arial"/>
          <w:sz w:val="22"/>
          <w:szCs w:val="22"/>
        </w:rPr>
        <w:t xml:space="preserve">arising from </w:t>
      </w:r>
      <w:r w:rsidR="0094048E" w:rsidRPr="0094048E">
        <w:rPr>
          <w:rFonts w:ascii="Arial" w:hAnsi="Arial" w:cs="Arial"/>
          <w:sz w:val="22"/>
          <w:szCs w:val="22"/>
        </w:rPr>
        <w:t xml:space="preserve">the internal audit </w:t>
      </w:r>
      <w:r w:rsidR="0094048E">
        <w:rPr>
          <w:rFonts w:ascii="Arial" w:hAnsi="Arial" w:cs="Arial"/>
          <w:sz w:val="22"/>
          <w:szCs w:val="22"/>
        </w:rPr>
        <w:t xml:space="preserve">is </w:t>
      </w:r>
      <w:r w:rsidR="0094048E" w:rsidRPr="0094048E">
        <w:rPr>
          <w:rFonts w:ascii="Arial" w:hAnsi="Arial" w:cs="Arial"/>
          <w:sz w:val="22"/>
          <w:szCs w:val="22"/>
        </w:rPr>
        <w:t>managed by the Research Governance Team</w:t>
      </w:r>
      <w:r w:rsidR="0094048E">
        <w:rPr>
          <w:rFonts w:ascii="Arial" w:hAnsi="Arial" w:cs="Arial"/>
          <w:sz w:val="22"/>
          <w:szCs w:val="22"/>
        </w:rPr>
        <w:t xml:space="preserve"> and reported to the HTWG.</w:t>
      </w:r>
    </w:p>
    <w:p w14:paraId="1109D847" w14:textId="77777777" w:rsidR="00EE73E8" w:rsidRPr="0015284A" w:rsidRDefault="00EE73E8" w:rsidP="00EE73E8">
      <w:pPr>
        <w:jc w:val="both"/>
        <w:rPr>
          <w:rFonts w:ascii="Arial" w:hAnsi="Arial" w:cs="Arial"/>
          <w:sz w:val="22"/>
          <w:szCs w:val="22"/>
        </w:rPr>
      </w:pPr>
    </w:p>
    <w:p w14:paraId="41BAD291" w14:textId="38CE3917" w:rsidR="00EE73E8" w:rsidRDefault="00EE73E8" w:rsidP="00EE73E8">
      <w:pPr>
        <w:jc w:val="both"/>
        <w:rPr>
          <w:rFonts w:ascii="Arial" w:hAnsi="Arial" w:cs="Arial"/>
          <w:sz w:val="22"/>
          <w:szCs w:val="22"/>
        </w:rPr>
      </w:pPr>
      <w:r w:rsidRPr="0015284A">
        <w:rPr>
          <w:rFonts w:ascii="Arial" w:hAnsi="Arial" w:cs="Arial"/>
          <w:sz w:val="22"/>
          <w:szCs w:val="22"/>
        </w:rPr>
        <w:t>Reports of the int</w:t>
      </w:r>
      <w:r>
        <w:rPr>
          <w:rFonts w:ascii="Arial" w:hAnsi="Arial" w:cs="Arial"/>
          <w:sz w:val="22"/>
          <w:szCs w:val="22"/>
        </w:rPr>
        <w:t>ernal audits will be sent to the LH representative, Chair of the HTWG, the HoS and the Dean</w:t>
      </w:r>
      <w:r w:rsidR="007E4CD2">
        <w:rPr>
          <w:rFonts w:ascii="Arial" w:hAnsi="Arial" w:cs="Arial"/>
          <w:sz w:val="22"/>
          <w:szCs w:val="22"/>
        </w:rPr>
        <w:t xml:space="preserve"> of the Faculty</w:t>
      </w:r>
      <w:r>
        <w:rPr>
          <w:rFonts w:ascii="Arial" w:hAnsi="Arial" w:cs="Arial"/>
          <w:sz w:val="22"/>
          <w:szCs w:val="22"/>
        </w:rPr>
        <w:t xml:space="preserve"> within which the audited premises are situated. Recommendations will be clearly identified, indicating which recommendations may require additional financial resources.</w:t>
      </w:r>
      <w:r w:rsidR="007333E2">
        <w:rPr>
          <w:rFonts w:ascii="Arial" w:hAnsi="Arial" w:cs="Arial"/>
          <w:sz w:val="22"/>
          <w:szCs w:val="22"/>
        </w:rPr>
        <w:t xml:space="preserve"> </w:t>
      </w:r>
      <w:r>
        <w:rPr>
          <w:rFonts w:ascii="Arial" w:hAnsi="Arial" w:cs="Arial"/>
          <w:sz w:val="22"/>
          <w:szCs w:val="22"/>
        </w:rPr>
        <w:t>The Pro-Vice Chancellor (Research) will receive a copy for information.</w:t>
      </w:r>
    </w:p>
    <w:p w14:paraId="372CD60C" w14:textId="77777777" w:rsidR="00EE73E8" w:rsidRDefault="00EE73E8" w:rsidP="00EE73E8">
      <w:pPr>
        <w:jc w:val="both"/>
        <w:rPr>
          <w:rFonts w:ascii="Arial" w:hAnsi="Arial" w:cs="Arial"/>
          <w:sz w:val="22"/>
          <w:szCs w:val="22"/>
        </w:rPr>
      </w:pPr>
    </w:p>
    <w:p w14:paraId="4E1C6E3D" w14:textId="77777777" w:rsidR="00EE73E8" w:rsidRPr="002B7AD4" w:rsidRDefault="00EE73E8" w:rsidP="007962C8">
      <w:pPr>
        <w:numPr>
          <w:ilvl w:val="0"/>
          <w:numId w:val="34"/>
        </w:numPr>
        <w:jc w:val="both"/>
        <w:rPr>
          <w:rFonts w:ascii="Arial" w:hAnsi="Arial" w:cs="Arial"/>
          <w:b/>
        </w:rPr>
      </w:pPr>
      <w:r w:rsidRPr="002B7AD4">
        <w:rPr>
          <w:rFonts w:ascii="Arial" w:hAnsi="Arial" w:cs="Arial"/>
          <w:b/>
        </w:rPr>
        <w:t>HTA inspections</w:t>
      </w:r>
    </w:p>
    <w:p w14:paraId="33BDF8DF" w14:textId="77777777" w:rsidR="00EE73E8" w:rsidRDefault="00EE73E8" w:rsidP="00EE73E8">
      <w:pPr>
        <w:jc w:val="both"/>
        <w:rPr>
          <w:rFonts w:ascii="Arial" w:hAnsi="Arial" w:cs="Arial"/>
          <w:sz w:val="22"/>
          <w:szCs w:val="22"/>
        </w:rPr>
      </w:pPr>
    </w:p>
    <w:p w14:paraId="1A014D45" w14:textId="2147F3FB" w:rsidR="00EE73E8" w:rsidRDefault="00EE73E8" w:rsidP="00EE73E8">
      <w:pPr>
        <w:jc w:val="both"/>
        <w:rPr>
          <w:rFonts w:ascii="Arial" w:hAnsi="Arial" w:cs="Arial"/>
          <w:sz w:val="22"/>
          <w:szCs w:val="22"/>
        </w:rPr>
      </w:pPr>
      <w:r>
        <w:rPr>
          <w:rFonts w:ascii="Arial" w:hAnsi="Arial" w:cs="Arial"/>
          <w:sz w:val="22"/>
          <w:szCs w:val="22"/>
        </w:rPr>
        <w:t xml:space="preserve">As part of its regulatory function the HTA carries out inspections of licensed premises. In </w:t>
      </w:r>
      <w:proofErr w:type="gramStart"/>
      <w:r>
        <w:rPr>
          <w:rFonts w:ascii="Arial" w:hAnsi="Arial" w:cs="Arial"/>
          <w:sz w:val="22"/>
          <w:szCs w:val="22"/>
        </w:rPr>
        <w:t>the majority of</w:t>
      </w:r>
      <w:proofErr w:type="gramEnd"/>
      <w:r>
        <w:rPr>
          <w:rFonts w:ascii="Arial" w:hAnsi="Arial" w:cs="Arial"/>
          <w:sz w:val="22"/>
          <w:szCs w:val="22"/>
        </w:rPr>
        <w:t xml:space="preserve"> cases</w:t>
      </w:r>
      <w:r w:rsidR="002F15EE">
        <w:rPr>
          <w:rFonts w:ascii="Arial" w:hAnsi="Arial" w:cs="Arial"/>
          <w:sz w:val="22"/>
          <w:szCs w:val="22"/>
        </w:rPr>
        <w:t>,</w:t>
      </w:r>
      <w:r>
        <w:rPr>
          <w:rFonts w:ascii="Arial" w:hAnsi="Arial" w:cs="Arial"/>
          <w:sz w:val="22"/>
          <w:szCs w:val="22"/>
        </w:rPr>
        <w:t xml:space="preserve"> the University will have due notice of an inspection; but the HTA may carry out unannounced inspections. There is no specific schedule for the inspection of </w:t>
      </w:r>
      <w:r w:rsidR="00203D21">
        <w:rPr>
          <w:rFonts w:ascii="Arial" w:hAnsi="Arial" w:cs="Arial"/>
          <w:sz w:val="22"/>
          <w:szCs w:val="22"/>
        </w:rPr>
        <w:t>L</w:t>
      </w:r>
      <w:r>
        <w:rPr>
          <w:rFonts w:ascii="Arial" w:hAnsi="Arial" w:cs="Arial"/>
          <w:sz w:val="22"/>
          <w:szCs w:val="22"/>
        </w:rPr>
        <w:t>icences. These inspections will, in the main, be risk based or may be triggered by an incident</w:t>
      </w:r>
      <w:r w:rsidR="0047041E">
        <w:rPr>
          <w:rFonts w:ascii="Arial" w:hAnsi="Arial" w:cs="Arial"/>
          <w:sz w:val="22"/>
          <w:szCs w:val="22"/>
        </w:rPr>
        <w:t xml:space="preserve"> or </w:t>
      </w:r>
      <w:r w:rsidR="00EC0ECD">
        <w:rPr>
          <w:rFonts w:ascii="Arial" w:hAnsi="Arial" w:cs="Arial"/>
          <w:sz w:val="22"/>
          <w:szCs w:val="22"/>
        </w:rPr>
        <w:t>AE</w:t>
      </w:r>
      <w:r>
        <w:rPr>
          <w:rFonts w:ascii="Arial" w:hAnsi="Arial" w:cs="Arial"/>
          <w:sz w:val="22"/>
          <w:szCs w:val="22"/>
        </w:rPr>
        <w:t xml:space="preserve">. Following an </w:t>
      </w:r>
      <w:r w:rsidR="004E7D5B">
        <w:rPr>
          <w:rFonts w:ascii="Arial" w:hAnsi="Arial" w:cs="Arial"/>
          <w:sz w:val="22"/>
          <w:szCs w:val="22"/>
        </w:rPr>
        <w:t>inspection,</w:t>
      </w:r>
      <w:r>
        <w:rPr>
          <w:rFonts w:ascii="Arial" w:hAnsi="Arial" w:cs="Arial"/>
          <w:sz w:val="22"/>
          <w:szCs w:val="22"/>
        </w:rPr>
        <w:t xml:space="preserve"> the HTA will write a report specifying any non-compliance that must be corrected. The report may also include advisory recommendations. </w:t>
      </w:r>
      <w:r w:rsidR="00110A8B">
        <w:rPr>
          <w:rFonts w:ascii="Arial" w:hAnsi="Arial" w:cs="Arial"/>
          <w:sz w:val="22"/>
          <w:szCs w:val="22"/>
        </w:rPr>
        <w:t>The c</w:t>
      </w:r>
      <w:r w:rsidR="00110A8B" w:rsidRPr="0094048E">
        <w:rPr>
          <w:rFonts w:ascii="Arial" w:hAnsi="Arial" w:cs="Arial"/>
          <w:sz w:val="22"/>
          <w:szCs w:val="22"/>
        </w:rPr>
        <w:t xml:space="preserve">losure </w:t>
      </w:r>
      <w:r w:rsidR="00110A8B">
        <w:rPr>
          <w:rFonts w:ascii="Arial" w:hAnsi="Arial" w:cs="Arial"/>
          <w:sz w:val="22"/>
          <w:szCs w:val="22"/>
        </w:rPr>
        <w:t xml:space="preserve">and </w:t>
      </w:r>
      <w:r w:rsidR="00110A8B" w:rsidRPr="0094048E">
        <w:rPr>
          <w:rFonts w:ascii="Arial" w:hAnsi="Arial" w:cs="Arial"/>
          <w:sz w:val="22"/>
          <w:szCs w:val="22"/>
        </w:rPr>
        <w:t xml:space="preserve">progress against actions </w:t>
      </w:r>
      <w:r w:rsidR="00110A8B">
        <w:rPr>
          <w:rFonts w:ascii="Arial" w:hAnsi="Arial" w:cs="Arial"/>
          <w:sz w:val="22"/>
          <w:szCs w:val="22"/>
        </w:rPr>
        <w:t>arising from an inspection</w:t>
      </w:r>
      <w:r w:rsidR="00110A8B" w:rsidRPr="0094048E">
        <w:rPr>
          <w:rFonts w:ascii="Arial" w:hAnsi="Arial" w:cs="Arial"/>
          <w:sz w:val="22"/>
          <w:szCs w:val="22"/>
        </w:rPr>
        <w:t xml:space="preserve"> </w:t>
      </w:r>
      <w:r w:rsidR="00110A8B">
        <w:rPr>
          <w:rFonts w:ascii="Arial" w:hAnsi="Arial" w:cs="Arial"/>
          <w:sz w:val="22"/>
          <w:szCs w:val="22"/>
        </w:rPr>
        <w:t xml:space="preserve">is </w:t>
      </w:r>
      <w:r w:rsidR="00110A8B" w:rsidRPr="0094048E">
        <w:rPr>
          <w:rFonts w:ascii="Arial" w:hAnsi="Arial" w:cs="Arial"/>
          <w:sz w:val="22"/>
          <w:szCs w:val="22"/>
        </w:rPr>
        <w:t>managed by the Research Governance Team</w:t>
      </w:r>
      <w:r w:rsidR="00110A8B">
        <w:rPr>
          <w:rFonts w:ascii="Arial" w:hAnsi="Arial" w:cs="Arial"/>
          <w:sz w:val="22"/>
          <w:szCs w:val="22"/>
        </w:rPr>
        <w:t xml:space="preserve"> and reported to the HTWG. </w:t>
      </w:r>
      <w:r>
        <w:rPr>
          <w:rFonts w:ascii="Arial" w:hAnsi="Arial" w:cs="Arial"/>
          <w:sz w:val="22"/>
          <w:szCs w:val="22"/>
        </w:rPr>
        <w:t xml:space="preserve">If the report recommends the addition or removal of licence conditions, an HTA licensing panel will review the report to determine whether the licence should be varied or revoked. </w:t>
      </w:r>
    </w:p>
    <w:p w14:paraId="00FCF9F4" w14:textId="77777777" w:rsidR="007B324D" w:rsidRDefault="007B324D" w:rsidP="007B324D">
      <w:pPr>
        <w:rPr>
          <w:rFonts w:ascii="Arial" w:hAnsi="Arial" w:cs="Arial"/>
          <w:b/>
        </w:rPr>
      </w:pPr>
    </w:p>
    <w:p w14:paraId="1A590717" w14:textId="21D56C0C" w:rsidR="004B6577" w:rsidRDefault="004B6577" w:rsidP="007962C8">
      <w:pPr>
        <w:numPr>
          <w:ilvl w:val="0"/>
          <w:numId w:val="33"/>
        </w:numPr>
        <w:rPr>
          <w:rFonts w:ascii="Arial" w:hAnsi="Arial" w:cs="Arial"/>
          <w:b/>
        </w:rPr>
      </w:pPr>
      <w:r>
        <w:rPr>
          <w:rFonts w:ascii="Arial" w:hAnsi="Arial" w:cs="Arial"/>
          <w:b/>
        </w:rPr>
        <w:t>Traceability</w:t>
      </w:r>
    </w:p>
    <w:p w14:paraId="139EC5CE" w14:textId="4D172137" w:rsidR="00DF1110" w:rsidRDefault="00DF1110" w:rsidP="00DF1110">
      <w:pPr>
        <w:rPr>
          <w:rFonts w:ascii="Arial" w:hAnsi="Arial" w:cs="Arial"/>
          <w:b/>
        </w:rPr>
      </w:pPr>
    </w:p>
    <w:p w14:paraId="4B0DC1BF" w14:textId="77777777" w:rsidR="00DF1110" w:rsidRPr="00DF1110" w:rsidRDefault="00DF1110" w:rsidP="00824D5A">
      <w:pPr>
        <w:numPr>
          <w:ilvl w:val="0"/>
          <w:numId w:val="55"/>
        </w:numPr>
        <w:rPr>
          <w:rFonts w:ascii="Arial" w:eastAsia="Calibri" w:hAnsi="Arial" w:cs="Arial"/>
          <w:b/>
        </w:rPr>
      </w:pPr>
      <w:r w:rsidRPr="00DF1110">
        <w:rPr>
          <w:rFonts w:ascii="Arial" w:eastAsia="Calibri" w:hAnsi="Arial" w:cs="Arial"/>
          <w:b/>
        </w:rPr>
        <w:t>Traceability and records of stored Relevant Material</w:t>
      </w:r>
    </w:p>
    <w:p w14:paraId="69CEA67C" w14:textId="77777777" w:rsidR="00DF1110" w:rsidRDefault="00DF1110" w:rsidP="00DF1110">
      <w:pPr>
        <w:rPr>
          <w:rFonts w:ascii="Arial" w:hAnsi="Arial" w:cs="Arial"/>
          <w:b/>
        </w:rPr>
      </w:pPr>
    </w:p>
    <w:p w14:paraId="1EE714B0" w14:textId="07970FF3" w:rsidR="00DF1110" w:rsidRDefault="00DF1110" w:rsidP="00DF1110">
      <w:pPr>
        <w:jc w:val="both"/>
        <w:rPr>
          <w:rFonts w:ascii="Arial" w:hAnsi="Arial" w:cs="Arial"/>
          <w:sz w:val="22"/>
          <w:szCs w:val="22"/>
        </w:rPr>
      </w:pPr>
      <w:r>
        <w:rPr>
          <w:rFonts w:ascii="Arial" w:hAnsi="Arial" w:cs="Arial"/>
          <w:sz w:val="22"/>
          <w:szCs w:val="22"/>
        </w:rPr>
        <w:t>Full t</w:t>
      </w:r>
      <w:r w:rsidRPr="007B2A64">
        <w:rPr>
          <w:rFonts w:ascii="Arial" w:hAnsi="Arial" w:cs="Arial"/>
          <w:sz w:val="22"/>
          <w:szCs w:val="22"/>
        </w:rPr>
        <w:t xml:space="preserve">raceability for the human material for which </w:t>
      </w:r>
      <w:r>
        <w:rPr>
          <w:rFonts w:ascii="Arial" w:hAnsi="Arial" w:cs="Arial"/>
          <w:sz w:val="22"/>
          <w:szCs w:val="22"/>
        </w:rPr>
        <w:t xml:space="preserve">DIs </w:t>
      </w:r>
      <w:r w:rsidRPr="007B2A64">
        <w:rPr>
          <w:rFonts w:ascii="Arial" w:hAnsi="Arial" w:cs="Arial"/>
          <w:sz w:val="22"/>
          <w:szCs w:val="22"/>
        </w:rPr>
        <w:t>are responsible, from receipt to</w:t>
      </w:r>
      <w:r w:rsidR="00DB33E9">
        <w:rPr>
          <w:rFonts w:ascii="Arial" w:hAnsi="Arial" w:cs="Arial"/>
          <w:sz w:val="22"/>
          <w:szCs w:val="22"/>
        </w:rPr>
        <w:t xml:space="preserve"> </w:t>
      </w:r>
      <w:r w:rsidRPr="007B2A64">
        <w:rPr>
          <w:rFonts w:ascii="Arial" w:hAnsi="Arial" w:cs="Arial"/>
          <w:sz w:val="22"/>
          <w:szCs w:val="22"/>
        </w:rPr>
        <w:t>final disposal/disposition</w:t>
      </w:r>
      <w:r>
        <w:rPr>
          <w:rFonts w:ascii="Arial" w:hAnsi="Arial" w:cs="Arial"/>
          <w:sz w:val="22"/>
          <w:szCs w:val="22"/>
        </w:rPr>
        <w:t xml:space="preserve"> needs to be demonstrated. </w:t>
      </w:r>
      <w:r w:rsidRPr="007B2A64">
        <w:rPr>
          <w:rFonts w:ascii="Arial" w:hAnsi="Arial" w:cs="Arial"/>
          <w:sz w:val="22"/>
          <w:szCs w:val="22"/>
        </w:rPr>
        <w:t>HTA inspectors will test this through traceability audits</w:t>
      </w:r>
      <w:r>
        <w:rPr>
          <w:rFonts w:ascii="Arial" w:hAnsi="Arial" w:cs="Arial"/>
          <w:sz w:val="22"/>
          <w:szCs w:val="22"/>
        </w:rPr>
        <w:t xml:space="preserve"> c</w:t>
      </w:r>
      <w:r w:rsidRPr="007B2A64">
        <w:rPr>
          <w:rFonts w:ascii="Arial" w:hAnsi="Arial" w:cs="Arial"/>
          <w:sz w:val="22"/>
          <w:szCs w:val="22"/>
        </w:rPr>
        <w:t>arried out on site</w:t>
      </w:r>
      <w:r>
        <w:rPr>
          <w:rFonts w:ascii="Arial" w:hAnsi="Arial" w:cs="Arial"/>
          <w:sz w:val="22"/>
          <w:szCs w:val="22"/>
        </w:rPr>
        <w:t xml:space="preserve">. There is an expectation of a </w:t>
      </w:r>
      <w:r w:rsidRPr="007B2A64">
        <w:rPr>
          <w:rFonts w:ascii="Arial" w:hAnsi="Arial" w:cs="Arial"/>
          <w:sz w:val="22"/>
          <w:szCs w:val="22"/>
        </w:rPr>
        <w:t>pro-active approach to</w:t>
      </w:r>
      <w:r>
        <w:rPr>
          <w:rFonts w:ascii="Arial" w:hAnsi="Arial" w:cs="Arial"/>
          <w:sz w:val="22"/>
          <w:szCs w:val="22"/>
        </w:rPr>
        <w:t xml:space="preserve"> </w:t>
      </w:r>
      <w:r w:rsidRPr="007B2A64">
        <w:rPr>
          <w:rFonts w:ascii="Arial" w:hAnsi="Arial" w:cs="Arial"/>
          <w:sz w:val="22"/>
          <w:szCs w:val="22"/>
        </w:rPr>
        <w:t>assuring effective traceability throughout the lifetime of the</w:t>
      </w:r>
      <w:r>
        <w:rPr>
          <w:rFonts w:ascii="Arial" w:hAnsi="Arial" w:cs="Arial"/>
          <w:sz w:val="22"/>
          <w:szCs w:val="22"/>
        </w:rPr>
        <w:t xml:space="preserve"> L</w:t>
      </w:r>
      <w:r w:rsidRPr="007B2A64">
        <w:rPr>
          <w:rFonts w:ascii="Arial" w:hAnsi="Arial" w:cs="Arial"/>
          <w:sz w:val="22"/>
          <w:szCs w:val="22"/>
        </w:rPr>
        <w:t xml:space="preserve">icence. In addition, as the final traceability step, </w:t>
      </w:r>
      <w:r>
        <w:rPr>
          <w:rFonts w:ascii="Arial" w:hAnsi="Arial" w:cs="Arial"/>
          <w:sz w:val="22"/>
          <w:szCs w:val="22"/>
        </w:rPr>
        <w:t>d</w:t>
      </w:r>
      <w:r w:rsidRPr="007B2A64">
        <w:rPr>
          <w:rFonts w:ascii="Arial" w:hAnsi="Arial" w:cs="Arial"/>
          <w:sz w:val="22"/>
          <w:szCs w:val="22"/>
        </w:rPr>
        <w:t xml:space="preserve">isposal arrangements </w:t>
      </w:r>
      <w:r>
        <w:rPr>
          <w:rFonts w:ascii="Arial" w:hAnsi="Arial" w:cs="Arial"/>
          <w:sz w:val="22"/>
          <w:szCs w:val="22"/>
        </w:rPr>
        <w:t xml:space="preserve">need to be in place that </w:t>
      </w:r>
      <w:r w:rsidRPr="007B2A64">
        <w:rPr>
          <w:rFonts w:ascii="Arial" w:hAnsi="Arial" w:cs="Arial"/>
          <w:sz w:val="22"/>
          <w:szCs w:val="22"/>
        </w:rPr>
        <w:t>are in accordance with the HTA’s Codes</w:t>
      </w:r>
      <w:r>
        <w:rPr>
          <w:rFonts w:ascii="Arial" w:hAnsi="Arial" w:cs="Arial"/>
          <w:sz w:val="22"/>
          <w:szCs w:val="22"/>
        </w:rPr>
        <w:t xml:space="preserve">. Traceability of Relevant Material is </w:t>
      </w:r>
      <w:r w:rsidR="004E7D5B">
        <w:rPr>
          <w:rFonts w:ascii="Arial" w:hAnsi="Arial" w:cs="Arial"/>
          <w:sz w:val="22"/>
          <w:szCs w:val="22"/>
        </w:rPr>
        <w:t>essential,</w:t>
      </w:r>
      <w:r>
        <w:rPr>
          <w:rFonts w:ascii="Arial" w:hAnsi="Arial" w:cs="Arial"/>
          <w:sz w:val="22"/>
          <w:szCs w:val="22"/>
        </w:rPr>
        <w:t xml:space="preserve"> and records must be kept </w:t>
      </w:r>
      <w:r w:rsidR="00F17451">
        <w:rPr>
          <w:rFonts w:ascii="Arial" w:hAnsi="Arial" w:cs="Arial"/>
          <w:sz w:val="22"/>
          <w:szCs w:val="22"/>
        </w:rPr>
        <w:t>documenting</w:t>
      </w:r>
      <w:r>
        <w:rPr>
          <w:rFonts w:ascii="Arial" w:hAnsi="Arial" w:cs="Arial"/>
          <w:sz w:val="22"/>
          <w:szCs w:val="22"/>
        </w:rPr>
        <w:t xml:space="preserve"> the storage, use and disposal of Relevant Material. Complete and up to date records will need to be available for both internal audit and external inspection by the HTA. </w:t>
      </w:r>
    </w:p>
    <w:p w14:paraId="221176BC" w14:textId="77777777" w:rsidR="00DF1110" w:rsidRDefault="00DF1110" w:rsidP="00DF1110">
      <w:pPr>
        <w:jc w:val="both"/>
        <w:rPr>
          <w:rFonts w:ascii="Arial" w:hAnsi="Arial" w:cs="Arial"/>
          <w:sz w:val="22"/>
          <w:szCs w:val="22"/>
        </w:rPr>
      </w:pPr>
    </w:p>
    <w:p w14:paraId="1304D920" w14:textId="6067A61E" w:rsidR="00DF1110" w:rsidRDefault="00DF1110" w:rsidP="00DF1110">
      <w:pPr>
        <w:jc w:val="both"/>
        <w:rPr>
          <w:rFonts w:ascii="Arial" w:hAnsi="Arial" w:cs="Arial"/>
          <w:sz w:val="22"/>
          <w:szCs w:val="22"/>
        </w:rPr>
      </w:pPr>
      <w:r>
        <w:rPr>
          <w:rFonts w:ascii="Arial" w:hAnsi="Arial" w:cs="Arial"/>
          <w:bCs/>
          <w:sz w:val="22"/>
          <w:szCs w:val="22"/>
        </w:rPr>
        <w:t xml:space="preserve">The relevant DI is responsible for ensuring </w:t>
      </w:r>
      <w:r w:rsidR="007E4CD2">
        <w:rPr>
          <w:rFonts w:ascii="Arial" w:hAnsi="Arial" w:cs="Arial"/>
          <w:bCs/>
          <w:sz w:val="22"/>
          <w:szCs w:val="22"/>
        </w:rPr>
        <w:t xml:space="preserve">records </w:t>
      </w:r>
      <w:r>
        <w:rPr>
          <w:rFonts w:ascii="Arial" w:hAnsi="Arial" w:cs="Arial"/>
          <w:bCs/>
          <w:sz w:val="22"/>
          <w:szCs w:val="22"/>
        </w:rPr>
        <w:t xml:space="preserve">are </w:t>
      </w:r>
      <w:r>
        <w:rPr>
          <w:rFonts w:ascii="Arial" w:hAnsi="Arial" w:cs="Arial"/>
          <w:sz w:val="22"/>
          <w:szCs w:val="22"/>
        </w:rPr>
        <w:t xml:space="preserve">adequate and appropriate with reference to the guidance contained in the relevant </w:t>
      </w:r>
      <w:r w:rsidRPr="00BE14D2">
        <w:rPr>
          <w:rFonts w:ascii="Arial" w:hAnsi="Arial" w:cs="Arial"/>
          <w:sz w:val="22"/>
          <w:szCs w:val="22"/>
        </w:rPr>
        <w:t>HTA Codes</w:t>
      </w:r>
      <w:r>
        <w:rPr>
          <w:rFonts w:ascii="Arial" w:hAnsi="Arial" w:cs="Arial"/>
          <w:sz w:val="22"/>
          <w:szCs w:val="22"/>
        </w:rPr>
        <w:t>.</w:t>
      </w:r>
    </w:p>
    <w:p w14:paraId="3C0A5766" w14:textId="77777777" w:rsidR="00DF1110" w:rsidRDefault="00DF1110" w:rsidP="00DF1110">
      <w:pPr>
        <w:jc w:val="both"/>
        <w:rPr>
          <w:rFonts w:ascii="Arial" w:hAnsi="Arial" w:cs="Arial"/>
          <w:sz w:val="22"/>
          <w:szCs w:val="22"/>
        </w:rPr>
      </w:pPr>
    </w:p>
    <w:p w14:paraId="73C7B56D" w14:textId="035CC71C" w:rsidR="00DF1110" w:rsidRDefault="00DF1110" w:rsidP="00DF1110">
      <w:pPr>
        <w:jc w:val="both"/>
        <w:rPr>
          <w:rFonts w:ascii="Arial" w:hAnsi="Arial" w:cs="Arial"/>
          <w:sz w:val="22"/>
          <w:szCs w:val="22"/>
        </w:rPr>
      </w:pPr>
      <w:r>
        <w:rPr>
          <w:rFonts w:ascii="Arial" w:hAnsi="Arial" w:cs="Arial"/>
          <w:sz w:val="22"/>
          <w:szCs w:val="22"/>
        </w:rPr>
        <w:t>Records may be in an electronic format (e.g., spreadsheets or databases) or as paper records</w:t>
      </w:r>
      <w:r w:rsidR="00427AD2">
        <w:rPr>
          <w:rFonts w:ascii="Arial" w:hAnsi="Arial" w:cs="Arial"/>
          <w:sz w:val="22"/>
          <w:szCs w:val="22"/>
        </w:rPr>
        <w:t>,</w:t>
      </w:r>
      <w:r>
        <w:rPr>
          <w:rFonts w:ascii="Arial" w:hAnsi="Arial" w:cs="Arial"/>
          <w:sz w:val="22"/>
          <w:szCs w:val="22"/>
        </w:rPr>
        <w:t xml:space="preserve"> with information about</w:t>
      </w:r>
      <w:r w:rsidR="00093C60">
        <w:rPr>
          <w:rFonts w:ascii="Arial" w:hAnsi="Arial" w:cs="Arial"/>
          <w:sz w:val="22"/>
          <w:szCs w:val="22"/>
        </w:rPr>
        <w:t xml:space="preserve"> (including testing of)</w:t>
      </w:r>
      <w:r>
        <w:rPr>
          <w:rFonts w:ascii="Arial" w:hAnsi="Arial" w:cs="Arial"/>
          <w:sz w:val="22"/>
          <w:szCs w:val="22"/>
        </w:rPr>
        <w:t xml:space="preserve"> a backup system in case </w:t>
      </w:r>
      <w:proofErr w:type="gramStart"/>
      <w:r w:rsidR="00DB33E9">
        <w:rPr>
          <w:rFonts w:ascii="Arial" w:hAnsi="Arial" w:cs="Arial"/>
          <w:sz w:val="22"/>
          <w:szCs w:val="22"/>
        </w:rPr>
        <w:t>either type</w:t>
      </w:r>
      <w:proofErr w:type="gramEnd"/>
      <w:r w:rsidR="00DB33E9">
        <w:rPr>
          <w:rFonts w:ascii="Arial" w:hAnsi="Arial" w:cs="Arial"/>
          <w:sz w:val="22"/>
          <w:szCs w:val="22"/>
        </w:rPr>
        <w:t xml:space="preserve"> of</w:t>
      </w:r>
      <w:r>
        <w:rPr>
          <w:rFonts w:ascii="Arial" w:hAnsi="Arial" w:cs="Arial"/>
          <w:sz w:val="22"/>
          <w:szCs w:val="22"/>
        </w:rPr>
        <w:t xml:space="preserve"> record is jeopardised.</w:t>
      </w:r>
    </w:p>
    <w:p w14:paraId="4F87FA7A" w14:textId="77777777" w:rsidR="00DF1110" w:rsidRDefault="00DF1110" w:rsidP="00DF1110">
      <w:pPr>
        <w:jc w:val="both"/>
        <w:rPr>
          <w:rFonts w:ascii="Arial" w:hAnsi="Arial" w:cs="Arial"/>
          <w:sz w:val="22"/>
          <w:szCs w:val="22"/>
        </w:rPr>
      </w:pPr>
    </w:p>
    <w:p w14:paraId="2EA0F91B" w14:textId="77777777" w:rsidR="00DF1110" w:rsidRDefault="00DF1110" w:rsidP="00DF1110">
      <w:pPr>
        <w:jc w:val="both"/>
        <w:rPr>
          <w:rFonts w:ascii="Arial" w:hAnsi="Arial" w:cs="Arial"/>
          <w:sz w:val="22"/>
          <w:szCs w:val="22"/>
        </w:rPr>
      </w:pPr>
      <w:r>
        <w:rPr>
          <w:rFonts w:ascii="Arial" w:hAnsi="Arial" w:cs="Arial"/>
          <w:sz w:val="22"/>
          <w:szCs w:val="22"/>
        </w:rPr>
        <w:t>Access controlled core information required is:</w:t>
      </w:r>
    </w:p>
    <w:p w14:paraId="70815207" w14:textId="77777777" w:rsidR="00DF1110" w:rsidRDefault="00DF1110" w:rsidP="00DF1110">
      <w:pPr>
        <w:jc w:val="both"/>
        <w:rPr>
          <w:rFonts w:ascii="Arial" w:hAnsi="Arial" w:cs="Arial"/>
          <w:sz w:val="22"/>
          <w:szCs w:val="22"/>
        </w:rPr>
      </w:pPr>
    </w:p>
    <w:p w14:paraId="2C34D2DA" w14:textId="77777777" w:rsidR="00DF1110" w:rsidRDefault="00DF1110" w:rsidP="00DF1110">
      <w:pPr>
        <w:numPr>
          <w:ilvl w:val="0"/>
          <w:numId w:val="9"/>
        </w:numPr>
        <w:jc w:val="both"/>
        <w:rPr>
          <w:rFonts w:ascii="Arial" w:hAnsi="Arial" w:cs="Arial"/>
          <w:sz w:val="22"/>
          <w:szCs w:val="22"/>
        </w:rPr>
      </w:pPr>
      <w:r>
        <w:rPr>
          <w:rFonts w:ascii="Arial" w:hAnsi="Arial" w:cs="Arial"/>
          <w:sz w:val="22"/>
          <w:szCs w:val="22"/>
        </w:rPr>
        <w:t>The origin of Relevant Material and date acquired</w:t>
      </w:r>
    </w:p>
    <w:p w14:paraId="456E1257" w14:textId="77777777" w:rsidR="007753BC" w:rsidRDefault="00DF1110" w:rsidP="00DF1110">
      <w:pPr>
        <w:numPr>
          <w:ilvl w:val="0"/>
          <w:numId w:val="9"/>
        </w:numPr>
        <w:jc w:val="both"/>
        <w:rPr>
          <w:rFonts w:ascii="Arial" w:hAnsi="Arial" w:cs="Arial"/>
          <w:sz w:val="22"/>
          <w:szCs w:val="22"/>
        </w:rPr>
      </w:pPr>
      <w:r>
        <w:rPr>
          <w:rFonts w:ascii="Arial" w:hAnsi="Arial" w:cs="Arial"/>
          <w:sz w:val="22"/>
          <w:szCs w:val="22"/>
        </w:rPr>
        <w:t>Whether Relevant Material is</w:t>
      </w:r>
      <w:r w:rsidR="007753BC">
        <w:rPr>
          <w:rFonts w:ascii="Arial" w:hAnsi="Arial" w:cs="Arial"/>
          <w:sz w:val="22"/>
          <w:szCs w:val="22"/>
        </w:rPr>
        <w:t>:</w:t>
      </w:r>
    </w:p>
    <w:p w14:paraId="32DC7874" w14:textId="1981B24A" w:rsidR="007753BC" w:rsidRDefault="00DF1110" w:rsidP="007753BC">
      <w:pPr>
        <w:numPr>
          <w:ilvl w:val="1"/>
          <w:numId w:val="9"/>
        </w:numPr>
        <w:jc w:val="both"/>
        <w:rPr>
          <w:rFonts w:ascii="Arial" w:hAnsi="Arial" w:cs="Arial"/>
          <w:sz w:val="22"/>
          <w:szCs w:val="22"/>
        </w:rPr>
      </w:pPr>
      <w:r>
        <w:rPr>
          <w:rFonts w:ascii="Arial" w:hAnsi="Arial" w:cs="Arial"/>
          <w:sz w:val="22"/>
          <w:szCs w:val="22"/>
        </w:rPr>
        <w:t xml:space="preserve">held with </w:t>
      </w:r>
      <w:proofErr w:type="gramStart"/>
      <w:r>
        <w:rPr>
          <w:rFonts w:ascii="Arial" w:hAnsi="Arial" w:cs="Arial"/>
          <w:sz w:val="22"/>
          <w:szCs w:val="22"/>
        </w:rPr>
        <w:t>consent</w:t>
      </w:r>
      <w:r w:rsidR="002D2271">
        <w:rPr>
          <w:rFonts w:ascii="Arial" w:hAnsi="Arial" w:cs="Arial"/>
          <w:sz w:val="22"/>
          <w:szCs w:val="22"/>
        </w:rPr>
        <w:t>;</w:t>
      </w:r>
      <w:proofErr w:type="gramEnd"/>
    </w:p>
    <w:p w14:paraId="0189B5DD" w14:textId="1FA17FFA" w:rsidR="00DF1110" w:rsidRDefault="00F6137F" w:rsidP="007753BC">
      <w:pPr>
        <w:numPr>
          <w:ilvl w:val="1"/>
          <w:numId w:val="9"/>
        </w:numPr>
        <w:jc w:val="both"/>
        <w:rPr>
          <w:rFonts w:ascii="Arial" w:hAnsi="Arial" w:cs="Arial"/>
          <w:sz w:val="22"/>
          <w:szCs w:val="22"/>
        </w:rPr>
      </w:pPr>
      <w:r w:rsidRPr="007753BC">
        <w:rPr>
          <w:rFonts w:ascii="Arial" w:hAnsi="Arial" w:cs="Arial"/>
          <w:sz w:val="22"/>
          <w:szCs w:val="22"/>
        </w:rPr>
        <w:t>held</w:t>
      </w:r>
      <w:r w:rsidR="002D2271">
        <w:rPr>
          <w:rFonts w:ascii="Arial" w:hAnsi="Arial" w:cs="Arial"/>
          <w:sz w:val="22"/>
          <w:szCs w:val="22"/>
        </w:rPr>
        <w:t xml:space="preserve"> </w:t>
      </w:r>
      <w:r w:rsidR="00DF1110" w:rsidRPr="001A19E3">
        <w:rPr>
          <w:rFonts w:ascii="Arial" w:hAnsi="Arial" w:cs="Arial"/>
          <w:sz w:val="22"/>
          <w:szCs w:val="22"/>
        </w:rPr>
        <w:t xml:space="preserve">under Licence or stored for a defined project under NHS REC favourable </w:t>
      </w:r>
      <w:proofErr w:type="gramStart"/>
      <w:r w:rsidR="00DF1110" w:rsidRPr="001A19E3">
        <w:rPr>
          <w:rFonts w:ascii="Arial" w:hAnsi="Arial" w:cs="Arial"/>
          <w:sz w:val="22"/>
          <w:szCs w:val="22"/>
        </w:rPr>
        <w:t>opinion</w:t>
      </w:r>
      <w:r w:rsidR="002D2271">
        <w:rPr>
          <w:rFonts w:ascii="Arial" w:hAnsi="Arial" w:cs="Arial"/>
          <w:sz w:val="22"/>
          <w:szCs w:val="22"/>
        </w:rPr>
        <w:t>;</w:t>
      </w:r>
      <w:proofErr w:type="gramEnd"/>
    </w:p>
    <w:p w14:paraId="2E402EBE" w14:textId="11B74B0D" w:rsidR="007753BC" w:rsidRDefault="007753BC" w:rsidP="007753BC">
      <w:pPr>
        <w:numPr>
          <w:ilvl w:val="1"/>
          <w:numId w:val="9"/>
        </w:numPr>
        <w:jc w:val="both"/>
        <w:rPr>
          <w:rFonts w:ascii="Arial" w:hAnsi="Arial" w:cs="Arial"/>
          <w:sz w:val="22"/>
          <w:szCs w:val="22"/>
        </w:rPr>
      </w:pPr>
      <w:r>
        <w:rPr>
          <w:rFonts w:ascii="Arial" w:hAnsi="Arial" w:cs="Arial"/>
          <w:sz w:val="22"/>
          <w:szCs w:val="22"/>
        </w:rPr>
        <w:t xml:space="preserve">from a living or deceased </w:t>
      </w:r>
      <w:proofErr w:type="gramStart"/>
      <w:r>
        <w:rPr>
          <w:rFonts w:ascii="Arial" w:hAnsi="Arial" w:cs="Arial"/>
          <w:sz w:val="22"/>
          <w:szCs w:val="22"/>
        </w:rPr>
        <w:t>donor</w:t>
      </w:r>
      <w:r w:rsidR="002D2271">
        <w:rPr>
          <w:rFonts w:ascii="Arial" w:hAnsi="Arial" w:cs="Arial"/>
          <w:sz w:val="22"/>
          <w:szCs w:val="22"/>
        </w:rPr>
        <w:t>;</w:t>
      </w:r>
      <w:proofErr w:type="gramEnd"/>
    </w:p>
    <w:p w14:paraId="2ECD9F2A" w14:textId="6114824E" w:rsidR="007753BC" w:rsidRDefault="007753BC" w:rsidP="001A19E3">
      <w:pPr>
        <w:numPr>
          <w:ilvl w:val="1"/>
          <w:numId w:val="9"/>
        </w:numPr>
        <w:jc w:val="both"/>
        <w:rPr>
          <w:rFonts w:ascii="Arial" w:hAnsi="Arial" w:cs="Arial"/>
          <w:sz w:val="22"/>
          <w:szCs w:val="22"/>
        </w:rPr>
      </w:pPr>
      <w:r>
        <w:rPr>
          <w:rFonts w:ascii="Arial" w:hAnsi="Arial" w:cs="Arial"/>
          <w:sz w:val="22"/>
          <w:szCs w:val="22"/>
        </w:rPr>
        <w:lastRenderedPageBreak/>
        <w:t>imported</w:t>
      </w:r>
    </w:p>
    <w:p w14:paraId="6AD7E092" w14:textId="7ECC1A1A" w:rsidR="00264F4C" w:rsidRPr="007753BC" w:rsidRDefault="00264F4C" w:rsidP="001A19E3">
      <w:pPr>
        <w:numPr>
          <w:ilvl w:val="1"/>
          <w:numId w:val="9"/>
        </w:numPr>
        <w:jc w:val="both"/>
        <w:rPr>
          <w:rFonts w:ascii="Arial" w:hAnsi="Arial" w:cs="Arial"/>
          <w:sz w:val="22"/>
          <w:szCs w:val="22"/>
        </w:rPr>
      </w:pPr>
      <w:r>
        <w:rPr>
          <w:rFonts w:ascii="Arial" w:hAnsi="Arial" w:cs="Arial"/>
          <w:sz w:val="22"/>
          <w:szCs w:val="22"/>
        </w:rPr>
        <w:t>anonymised</w:t>
      </w:r>
    </w:p>
    <w:p w14:paraId="0F8AC7CF" w14:textId="194F3A77" w:rsidR="002D2271" w:rsidRDefault="001B54A7" w:rsidP="00DF1110">
      <w:pPr>
        <w:numPr>
          <w:ilvl w:val="0"/>
          <w:numId w:val="9"/>
        </w:numPr>
        <w:jc w:val="both"/>
        <w:rPr>
          <w:rFonts w:ascii="Arial" w:hAnsi="Arial" w:cs="Arial"/>
          <w:sz w:val="22"/>
          <w:szCs w:val="22"/>
        </w:rPr>
      </w:pPr>
      <w:r>
        <w:rPr>
          <w:rFonts w:ascii="Arial" w:hAnsi="Arial" w:cs="Arial"/>
          <w:sz w:val="22"/>
          <w:szCs w:val="22"/>
        </w:rPr>
        <w:t xml:space="preserve">Number of samples, </w:t>
      </w:r>
      <w:r w:rsidR="00DF1110">
        <w:rPr>
          <w:rFonts w:ascii="Arial" w:hAnsi="Arial" w:cs="Arial"/>
          <w:sz w:val="22"/>
          <w:szCs w:val="22"/>
        </w:rPr>
        <w:t>description</w:t>
      </w:r>
      <w:r w:rsidR="003B78DC">
        <w:rPr>
          <w:rFonts w:ascii="Arial" w:hAnsi="Arial" w:cs="Arial"/>
          <w:sz w:val="22"/>
          <w:szCs w:val="22"/>
        </w:rPr>
        <w:t xml:space="preserve"> of </w:t>
      </w:r>
      <w:r w:rsidR="00A50D3A">
        <w:rPr>
          <w:rFonts w:ascii="Arial" w:hAnsi="Arial" w:cs="Arial"/>
          <w:sz w:val="22"/>
          <w:szCs w:val="22"/>
        </w:rPr>
        <w:t>sample</w:t>
      </w:r>
      <w:r w:rsidR="00DC0045">
        <w:rPr>
          <w:rFonts w:ascii="Arial" w:hAnsi="Arial" w:cs="Arial"/>
          <w:sz w:val="22"/>
          <w:szCs w:val="22"/>
        </w:rPr>
        <w:t>/cell</w:t>
      </w:r>
      <w:r w:rsidR="003B78DC">
        <w:rPr>
          <w:rFonts w:ascii="Arial" w:hAnsi="Arial" w:cs="Arial"/>
          <w:sz w:val="22"/>
          <w:szCs w:val="22"/>
        </w:rPr>
        <w:t xml:space="preserve"> type</w:t>
      </w:r>
      <w:r w:rsidR="00DF1110">
        <w:rPr>
          <w:rFonts w:ascii="Arial" w:hAnsi="Arial" w:cs="Arial"/>
          <w:sz w:val="22"/>
          <w:szCs w:val="22"/>
        </w:rPr>
        <w:t xml:space="preserve"> and storage</w:t>
      </w:r>
      <w:r w:rsidR="0099514D">
        <w:rPr>
          <w:rFonts w:ascii="Arial" w:hAnsi="Arial" w:cs="Arial"/>
          <w:sz w:val="22"/>
          <w:szCs w:val="22"/>
        </w:rPr>
        <w:t xml:space="preserve"> details including</w:t>
      </w:r>
      <w:r w:rsidR="00DF1110">
        <w:rPr>
          <w:rFonts w:ascii="Arial" w:hAnsi="Arial" w:cs="Arial"/>
          <w:sz w:val="22"/>
          <w:szCs w:val="22"/>
        </w:rPr>
        <w:t xml:space="preserve"> location</w:t>
      </w:r>
    </w:p>
    <w:p w14:paraId="312DC4AE" w14:textId="55FE157A" w:rsidR="00DF1110" w:rsidRDefault="00DF1110" w:rsidP="00DF1110">
      <w:pPr>
        <w:numPr>
          <w:ilvl w:val="0"/>
          <w:numId w:val="9"/>
        </w:numPr>
        <w:jc w:val="both"/>
        <w:rPr>
          <w:rFonts w:ascii="Arial" w:hAnsi="Arial" w:cs="Arial"/>
          <w:sz w:val="22"/>
          <w:szCs w:val="22"/>
        </w:rPr>
      </w:pPr>
      <w:r>
        <w:rPr>
          <w:rFonts w:ascii="Arial" w:hAnsi="Arial" w:cs="Arial"/>
          <w:sz w:val="22"/>
          <w:szCs w:val="22"/>
        </w:rPr>
        <w:t>Licence number or NHS REC reference, date</w:t>
      </w:r>
      <w:r w:rsidR="00876233">
        <w:rPr>
          <w:rFonts w:ascii="Arial" w:hAnsi="Arial" w:cs="Arial"/>
          <w:sz w:val="22"/>
          <w:szCs w:val="22"/>
        </w:rPr>
        <w:t xml:space="preserve"> of REC expiry</w:t>
      </w:r>
      <w:r>
        <w:rPr>
          <w:rFonts w:ascii="Arial" w:hAnsi="Arial" w:cs="Arial"/>
          <w:sz w:val="22"/>
          <w:szCs w:val="22"/>
        </w:rPr>
        <w:t xml:space="preserve"> and Principal Investigator</w:t>
      </w:r>
    </w:p>
    <w:p w14:paraId="43DF1626" w14:textId="77777777" w:rsidR="00DF1110" w:rsidRDefault="00DF1110" w:rsidP="00DF1110">
      <w:pPr>
        <w:numPr>
          <w:ilvl w:val="0"/>
          <w:numId w:val="9"/>
        </w:numPr>
        <w:jc w:val="both"/>
        <w:rPr>
          <w:rFonts w:ascii="Arial" w:hAnsi="Arial" w:cs="Arial"/>
          <w:sz w:val="22"/>
          <w:szCs w:val="22"/>
        </w:rPr>
      </w:pPr>
      <w:r>
        <w:rPr>
          <w:rFonts w:ascii="Arial" w:hAnsi="Arial" w:cs="Arial"/>
          <w:sz w:val="22"/>
          <w:szCs w:val="22"/>
        </w:rPr>
        <w:t>Date and details of use, transfer (including copy of Material Transfer Agreement) and disposal</w:t>
      </w:r>
    </w:p>
    <w:p w14:paraId="60618436" w14:textId="77777777" w:rsidR="00DF1110" w:rsidRDefault="00DF1110" w:rsidP="00DF1110">
      <w:pPr>
        <w:jc w:val="both"/>
        <w:rPr>
          <w:rFonts w:ascii="Arial" w:hAnsi="Arial" w:cs="Arial"/>
          <w:sz w:val="22"/>
          <w:szCs w:val="22"/>
        </w:rPr>
      </w:pPr>
    </w:p>
    <w:p w14:paraId="1819EA08" w14:textId="77777777" w:rsidR="00DF1110" w:rsidRDefault="00DF1110" w:rsidP="00DF1110">
      <w:pPr>
        <w:jc w:val="both"/>
        <w:rPr>
          <w:rFonts w:ascii="Arial" w:hAnsi="Arial" w:cs="Arial"/>
          <w:bCs/>
          <w:sz w:val="22"/>
          <w:szCs w:val="22"/>
        </w:rPr>
      </w:pPr>
      <w:r>
        <w:rPr>
          <w:rFonts w:ascii="Arial" w:hAnsi="Arial" w:cs="Arial"/>
          <w:sz w:val="22"/>
          <w:szCs w:val="22"/>
        </w:rPr>
        <w:t>S</w:t>
      </w:r>
      <w:r>
        <w:rPr>
          <w:rFonts w:ascii="Arial" w:hAnsi="Arial" w:cs="Arial"/>
          <w:bCs/>
          <w:sz w:val="22"/>
          <w:szCs w:val="22"/>
        </w:rPr>
        <w:t xml:space="preserve">taff and students using </w:t>
      </w:r>
      <w:r>
        <w:rPr>
          <w:rFonts w:ascii="Arial" w:hAnsi="Arial" w:cs="Arial"/>
          <w:sz w:val="22"/>
          <w:szCs w:val="22"/>
        </w:rPr>
        <w:t>Relevant Material</w:t>
      </w:r>
      <w:r>
        <w:rPr>
          <w:rFonts w:ascii="Arial" w:hAnsi="Arial" w:cs="Arial"/>
          <w:bCs/>
          <w:sz w:val="22"/>
          <w:szCs w:val="22"/>
        </w:rPr>
        <w:t xml:space="preserve"> with authorised access are required to make and amend entries in the records kept by the relevant DI and to keep them up to date and accurate.</w:t>
      </w:r>
    </w:p>
    <w:p w14:paraId="3533E34A" w14:textId="77777777" w:rsidR="00DF1110" w:rsidRDefault="00DF1110" w:rsidP="00DF1110">
      <w:pPr>
        <w:jc w:val="both"/>
        <w:rPr>
          <w:rFonts w:ascii="Arial" w:hAnsi="Arial" w:cs="Arial"/>
          <w:bCs/>
          <w:sz w:val="22"/>
          <w:szCs w:val="22"/>
        </w:rPr>
      </w:pPr>
    </w:p>
    <w:p w14:paraId="22A35212" w14:textId="77777777" w:rsidR="00DF1110" w:rsidRPr="00824D5A" w:rsidRDefault="00DF1110" w:rsidP="00824D5A">
      <w:pPr>
        <w:numPr>
          <w:ilvl w:val="0"/>
          <w:numId w:val="55"/>
        </w:numPr>
        <w:rPr>
          <w:rFonts w:ascii="Arial" w:hAnsi="Arial" w:cs="Arial"/>
          <w:b/>
        </w:rPr>
      </w:pPr>
      <w:r w:rsidRPr="00824D5A">
        <w:rPr>
          <w:rFonts w:ascii="Arial" w:hAnsi="Arial" w:cs="Arial"/>
          <w:b/>
        </w:rPr>
        <w:t>Transfer of Relevant Material and / or disposal</w:t>
      </w:r>
    </w:p>
    <w:p w14:paraId="6E903B40" w14:textId="77777777" w:rsidR="00DF1110" w:rsidRPr="00D112C3" w:rsidRDefault="00DF1110" w:rsidP="00DF1110">
      <w:pPr>
        <w:rPr>
          <w:rFonts w:ascii="Arial" w:hAnsi="Arial" w:cs="Arial"/>
          <w:sz w:val="22"/>
          <w:szCs w:val="22"/>
        </w:rPr>
      </w:pPr>
    </w:p>
    <w:p w14:paraId="2E3E07BA" w14:textId="77777777" w:rsidR="00DF1110" w:rsidRDefault="00DF1110" w:rsidP="00DF1110">
      <w:pPr>
        <w:jc w:val="both"/>
        <w:rPr>
          <w:rFonts w:ascii="Arial" w:hAnsi="Arial" w:cs="Arial"/>
          <w:sz w:val="22"/>
          <w:szCs w:val="22"/>
        </w:rPr>
      </w:pPr>
      <w:r>
        <w:rPr>
          <w:rFonts w:ascii="Arial" w:hAnsi="Arial" w:cs="Arial"/>
          <w:sz w:val="22"/>
          <w:szCs w:val="22"/>
        </w:rPr>
        <w:t>Whenever Relevant Material for Scheduled Purposes is transferred internally or externally it must be documented.</w:t>
      </w:r>
    </w:p>
    <w:p w14:paraId="1CBB3F9E" w14:textId="77777777" w:rsidR="00DF1110" w:rsidRDefault="00DF1110" w:rsidP="00DF1110">
      <w:pPr>
        <w:rPr>
          <w:rFonts w:ascii="Arial" w:hAnsi="Arial" w:cs="Arial"/>
          <w:sz w:val="22"/>
          <w:szCs w:val="22"/>
        </w:rPr>
      </w:pPr>
    </w:p>
    <w:p w14:paraId="56844A18" w14:textId="0F82B10A" w:rsidR="00DF1110" w:rsidRDefault="00DF1110" w:rsidP="00DF1110">
      <w:pPr>
        <w:numPr>
          <w:ilvl w:val="0"/>
          <w:numId w:val="20"/>
        </w:numPr>
        <w:rPr>
          <w:rFonts w:ascii="Arial" w:hAnsi="Arial" w:cs="Arial"/>
          <w:sz w:val="22"/>
          <w:szCs w:val="22"/>
        </w:rPr>
      </w:pPr>
      <w:r>
        <w:rPr>
          <w:rFonts w:ascii="Arial" w:hAnsi="Arial" w:cs="Arial"/>
          <w:sz w:val="22"/>
          <w:szCs w:val="22"/>
        </w:rPr>
        <w:t xml:space="preserve">Internally – the transfer and subsequent storage, use and disposal of </w:t>
      </w:r>
      <w:r w:rsidR="00A50D3A">
        <w:rPr>
          <w:rFonts w:ascii="Arial" w:hAnsi="Arial" w:cs="Arial"/>
          <w:sz w:val="22"/>
          <w:szCs w:val="22"/>
        </w:rPr>
        <w:t xml:space="preserve">Relevant Material </w:t>
      </w:r>
      <w:r>
        <w:rPr>
          <w:rFonts w:ascii="Arial" w:hAnsi="Arial" w:cs="Arial"/>
          <w:sz w:val="22"/>
          <w:szCs w:val="22"/>
        </w:rPr>
        <w:t>must be governed by a SOP and internal transfer agreement.</w:t>
      </w:r>
    </w:p>
    <w:p w14:paraId="2EBE8CAD" w14:textId="6848191A" w:rsidR="00DF1110" w:rsidRDefault="00DF1110" w:rsidP="00AF1DD3">
      <w:pPr>
        <w:numPr>
          <w:ilvl w:val="0"/>
          <w:numId w:val="20"/>
        </w:numPr>
        <w:rPr>
          <w:rFonts w:ascii="Arial" w:hAnsi="Arial" w:cs="Arial"/>
          <w:sz w:val="22"/>
          <w:szCs w:val="22"/>
        </w:rPr>
      </w:pPr>
      <w:r w:rsidRPr="006A3A3E">
        <w:rPr>
          <w:rFonts w:ascii="Arial" w:hAnsi="Arial" w:cs="Arial"/>
          <w:sz w:val="22"/>
          <w:szCs w:val="22"/>
        </w:rPr>
        <w:t xml:space="preserve">Externally - the transfer and subsequent storage, use and disposal of </w:t>
      </w:r>
      <w:r w:rsidR="00A50D3A">
        <w:rPr>
          <w:rFonts w:ascii="Arial" w:hAnsi="Arial" w:cs="Arial"/>
          <w:sz w:val="22"/>
          <w:szCs w:val="22"/>
        </w:rPr>
        <w:t>Relevant Material</w:t>
      </w:r>
      <w:r w:rsidR="00A50D3A" w:rsidRPr="006A3A3E">
        <w:rPr>
          <w:rFonts w:ascii="Arial" w:hAnsi="Arial" w:cs="Arial"/>
          <w:sz w:val="22"/>
          <w:szCs w:val="22"/>
        </w:rPr>
        <w:t xml:space="preserve"> </w:t>
      </w:r>
      <w:r w:rsidRPr="006A3A3E">
        <w:rPr>
          <w:rFonts w:ascii="Arial" w:hAnsi="Arial" w:cs="Arial"/>
          <w:sz w:val="22"/>
          <w:szCs w:val="22"/>
        </w:rPr>
        <w:t>must be governed by a Material Transfer Agreement (the “MTA”) approved by the Research and Enterprise D</w:t>
      </w:r>
      <w:r w:rsidR="00336933" w:rsidRPr="006A3A3E">
        <w:rPr>
          <w:rFonts w:ascii="Arial" w:hAnsi="Arial" w:cs="Arial"/>
          <w:sz w:val="22"/>
          <w:szCs w:val="22"/>
        </w:rPr>
        <w:t>ivision</w:t>
      </w:r>
      <w:r w:rsidRPr="006A3A3E">
        <w:rPr>
          <w:rFonts w:ascii="Arial" w:hAnsi="Arial" w:cs="Arial"/>
          <w:sz w:val="22"/>
          <w:szCs w:val="22"/>
        </w:rPr>
        <w:t xml:space="preserve"> (RED).</w:t>
      </w:r>
      <w:r w:rsidR="00BB0870" w:rsidRPr="006A3A3E">
        <w:rPr>
          <w:rFonts w:ascii="Arial" w:hAnsi="Arial" w:cs="Arial"/>
          <w:sz w:val="22"/>
          <w:szCs w:val="22"/>
        </w:rPr>
        <w:t xml:space="preserve"> </w:t>
      </w:r>
      <w:r w:rsidR="006A3A3E">
        <w:rPr>
          <w:rFonts w:ascii="Arial" w:hAnsi="Arial" w:cs="Arial"/>
          <w:sz w:val="22"/>
          <w:szCs w:val="22"/>
        </w:rPr>
        <w:t xml:space="preserve">For NHS REC studies, the inclusion of sample transfer </w:t>
      </w:r>
      <w:r w:rsidR="008F5F6F">
        <w:rPr>
          <w:rFonts w:ascii="Arial" w:hAnsi="Arial" w:cs="Arial"/>
          <w:sz w:val="22"/>
          <w:szCs w:val="22"/>
        </w:rPr>
        <w:t xml:space="preserve">should be documented within </w:t>
      </w:r>
      <w:r w:rsidR="006A3A3E">
        <w:rPr>
          <w:rFonts w:ascii="Arial" w:hAnsi="Arial" w:cs="Arial"/>
          <w:sz w:val="22"/>
          <w:szCs w:val="22"/>
        </w:rPr>
        <w:t xml:space="preserve">the ethically approved documentation </w:t>
      </w:r>
      <w:r w:rsidR="008F5F6F">
        <w:rPr>
          <w:rFonts w:ascii="Arial" w:hAnsi="Arial" w:cs="Arial"/>
          <w:sz w:val="22"/>
          <w:szCs w:val="22"/>
        </w:rPr>
        <w:t>and be accompanied by an</w:t>
      </w:r>
      <w:r w:rsidR="006A3A3E">
        <w:rPr>
          <w:rFonts w:ascii="Arial" w:hAnsi="Arial" w:cs="Arial"/>
          <w:sz w:val="22"/>
          <w:szCs w:val="22"/>
        </w:rPr>
        <w:t xml:space="preserve"> MTA </w:t>
      </w:r>
      <w:r w:rsidR="008F5F6F">
        <w:rPr>
          <w:rFonts w:ascii="Arial" w:hAnsi="Arial" w:cs="Arial"/>
          <w:sz w:val="22"/>
          <w:szCs w:val="22"/>
        </w:rPr>
        <w:t xml:space="preserve">for the </w:t>
      </w:r>
      <w:r w:rsidR="006A3A3E">
        <w:rPr>
          <w:rFonts w:ascii="Arial" w:hAnsi="Arial" w:cs="Arial"/>
          <w:sz w:val="22"/>
          <w:szCs w:val="22"/>
        </w:rPr>
        <w:t>transfer of Relevant Material</w:t>
      </w:r>
      <w:r w:rsidR="00D819F8">
        <w:rPr>
          <w:rFonts w:ascii="Arial" w:hAnsi="Arial" w:cs="Arial"/>
          <w:sz w:val="22"/>
          <w:szCs w:val="22"/>
        </w:rPr>
        <w:t xml:space="preserve"> </w:t>
      </w:r>
      <w:r w:rsidR="008F5F6F">
        <w:rPr>
          <w:rFonts w:ascii="Arial" w:hAnsi="Arial" w:cs="Arial"/>
          <w:sz w:val="22"/>
          <w:szCs w:val="22"/>
        </w:rPr>
        <w:t>outside of the University</w:t>
      </w:r>
      <w:r w:rsidR="006A3A3E">
        <w:rPr>
          <w:rFonts w:ascii="Arial" w:hAnsi="Arial" w:cs="Arial"/>
          <w:sz w:val="22"/>
          <w:szCs w:val="22"/>
        </w:rPr>
        <w:t>.</w:t>
      </w:r>
    </w:p>
    <w:p w14:paraId="0C0C1A87" w14:textId="77777777" w:rsidR="006A3A3E" w:rsidRPr="006A3A3E" w:rsidRDefault="006A3A3E" w:rsidP="006A3A3E">
      <w:pPr>
        <w:rPr>
          <w:rFonts w:ascii="Arial" w:hAnsi="Arial" w:cs="Arial"/>
          <w:sz w:val="22"/>
          <w:szCs w:val="22"/>
        </w:rPr>
      </w:pPr>
    </w:p>
    <w:p w14:paraId="5F278FCE" w14:textId="5355116F" w:rsidR="00DF1110" w:rsidRDefault="00DF1110" w:rsidP="00DF1110">
      <w:pPr>
        <w:jc w:val="both"/>
        <w:rPr>
          <w:rFonts w:ascii="Arial" w:hAnsi="Arial" w:cs="Arial"/>
          <w:sz w:val="22"/>
          <w:szCs w:val="22"/>
        </w:rPr>
      </w:pPr>
      <w:r>
        <w:rPr>
          <w:rFonts w:ascii="Arial" w:hAnsi="Arial" w:cs="Arial"/>
          <w:sz w:val="22"/>
          <w:szCs w:val="22"/>
        </w:rPr>
        <w:t>A standard University MTA is in place for transferring Relevant Material to individuals or organisations outside the University. Please contact the Research and Human Tissue Manager in RED or further information.</w:t>
      </w:r>
    </w:p>
    <w:p w14:paraId="0BC4AC34" w14:textId="77777777" w:rsidR="00DF1110" w:rsidRDefault="00DF1110" w:rsidP="00DF1110">
      <w:pPr>
        <w:jc w:val="both"/>
        <w:rPr>
          <w:rFonts w:ascii="Arial" w:hAnsi="Arial" w:cs="Arial"/>
          <w:sz w:val="22"/>
          <w:szCs w:val="22"/>
        </w:rPr>
      </w:pPr>
    </w:p>
    <w:p w14:paraId="130EFC9E" w14:textId="77777777" w:rsidR="00DF1110" w:rsidRDefault="00DF1110" w:rsidP="00DF1110">
      <w:pPr>
        <w:jc w:val="both"/>
        <w:rPr>
          <w:rFonts w:ascii="Arial" w:hAnsi="Arial" w:cs="Arial"/>
          <w:sz w:val="22"/>
          <w:szCs w:val="22"/>
        </w:rPr>
      </w:pPr>
      <w:r>
        <w:rPr>
          <w:rFonts w:ascii="Arial" w:hAnsi="Arial" w:cs="Arial"/>
          <w:sz w:val="22"/>
          <w:szCs w:val="22"/>
        </w:rPr>
        <w:t>The import (Relevant Material</w:t>
      </w:r>
      <w:r w:rsidRPr="00B33F0F">
        <w:rPr>
          <w:rFonts w:ascii="Arial" w:hAnsi="Arial" w:cs="Arial"/>
          <w:sz w:val="22"/>
          <w:szCs w:val="22"/>
        </w:rPr>
        <w:t xml:space="preserve"> received from outside of England, Wales and Northern I</w:t>
      </w:r>
      <w:r>
        <w:rPr>
          <w:rFonts w:ascii="Arial" w:hAnsi="Arial" w:cs="Arial"/>
          <w:sz w:val="22"/>
          <w:szCs w:val="22"/>
        </w:rPr>
        <w:t>reland are considered an import) of Relevant Material must follow the HTA Code of Practice. Prior to import individual guidance must be obtained from the Research and Human Tissue Manager.</w:t>
      </w:r>
    </w:p>
    <w:p w14:paraId="40FDF5F1" w14:textId="550D7260" w:rsidR="00DF1110" w:rsidRDefault="00DF1110" w:rsidP="00DF1110">
      <w:pPr>
        <w:jc w:val="both"/>
        <w:rPr>
          <w:rFonts w:ascii="Arial" w:hAnsi="Arial" w:cs="Arial"/>
          <w:sz w:val="22"/>
          <w:szCs w:val="22"/>
        </w:rPr>
      </w:pPr>
    </w:p>
    <w:p w14:paraId="32159C8A" w14:textId="5BEA244D" w:rsidR="0002794B" w:rsidRDefault="0002794B" w:rsidP="0002794B">
      <w:pPr>
        <w:numPr>
          <w:ilvl w:val="0"/>
          <w:numId w:val="55"/>
        </w:numPr>
        <w:rPr>
          <w:rFonts w:ascii="Arial" w:hAnsi="Arial" w:cs="Arial"/>
          <w:b/>
        </w:rPr>
      </w:pPr>
      <w:r>
        <w:rPr>
          <w:rFonts w:ascii="Arial" w:hAnsi="Arial" w:cs="Arial"/>
          <w:b/>
        </w:rPr>
        <w:t>Disposal</w:t>
      </w:r>
    </w:p>
    <w:p w14:paraId="407F8CB8" w14:textId="77777777" w:rsidR="0002794B" w:rsidRPr="0002794B" w:rsidRDefault="0002794B" w:rsidP="0002794B">
      <w:pPr>
        <w:rPr>
          <w:rFonts w:ascii="Arial" w:hAnsi="Arial" w:cs="Arial"/>
          <w:b/>
        </w:rPr>
      </w:pPr>
    </w:p>
    <w:p w14:paraId="69D0EF65" w14:textId="2FE25752" w:rsidR="00DF1110" w:rsidRDefault="00DF1110" w:rsidP="00DF1110">
      <w:pPr>
        <w:jc w:val="both"/>
        <w:rPr>
          <w:rFonts w:ascii="Arial" w:hAnsi="Arial" w:cs="Arial"/>
          <w:sz w:val="22"/>
        </w:rPr>
      </w:pPr>
      <w:r>
        <w:rPr>
          <w:rFonts w:ascii="Arial" w:hAnsi="Arial" w:cs="Arial"/>
          <w:sz w:val="22"/>
          <w:szCs w:val="22"/>
        </w:rPr>
        <w:t xml:space="preserve">For detailed guidance on disposal of Relevant Material </w:t>
      </w:r>
      <w:r w:rsidR="00896A29">
        <w:rPr>
          <w:rFonts w:ascii="Arial" w:hAnsi="Arial" w:cs="Arial"/>
          <w:sz w:val="22"/>
          <w:szCs w:val="22"/>
        </w:rPr>
        <w:t xml:space="preserve">refer to </w:t>
      </w:r>
      <w:r>
        <w:rPr>
          <w:rFonts w:ascii="Arial" w:hAnsi="Arial" w:cs="Arial"/>
          <w:sz w:val="22"/>
          <w:szCs w:val="22"/>
        </w:rPr>
        <w:t xml:space="preserve">the </w:t>
      </w:r>
      <w:hyperlink r:id="rId33" w:history="1">
        <w:r w:rsidRPr="008F5F6F">
          <w:rPr>
            <w:rStyle w:val="Hyperlink"/>
            <w:rFonts w:ascii="Arial" w:hAnsi="Arial" w:cs="Arial"/>
            <w:sz w:val="22"/>
            <w:szCs w:val="22"/>
          </w:rPr>
          <w:t>University’s Disposal Policy</w:t>
        </w:r>
      </w:hyperlink>
      <w:r>
        <w:rPr>
          <w:rFonts w:ascii="Arial" w:hAnsi="Arial" w:cs="Arial"/>
          <w:sz w:val="22"/>
          <w:szCs w:val="22"/>
        </w:rPr>
        <w:t xml:space="preserve">: </w:t>
      </w:r>
    </w:p>
    <w:p w14:paraId="0B62095C" w14:textId="77777777" w:rsidR="00DF1110" w:rsidRDefault="00DF1110" w:rsidP="00B642B2">
      <w:pPr>
        <w:rPr>
          <w:rFonts w:ascii="Arial" w:hAnsi="Arial" w:cs="Arial"/>
          <w:b/>
        </w:rPr>
      </w:pPr>
    </w:p>
    <w:p w14:paraId="040DAE41" w14:textId="5A521769" w:rsidR="00EE73E8" w:rsidRDefault="00EE73E8" w:rsidP="007962C8">
      <w:pPr>
        <w:numPr>
          <w:ilvl w:val="0"/>
          <w:numId w:val="33"/>
        </w:numPr>
        <w:rPr>
          <w:rFonts w:ascii="Arial" w:hAnsi="Arial" w:cs="Arial"/>
          <w:b/>
        </w:rPr>
      </w:pPr>
      <w:r>
        <w:rPr>
          <w:rFonts w:ascii="Arial" w:hAnsi="Arial" w:cs="Arial"/>
          <w:b/>
        </w:rPr>
        <w:t>Premises, Facilities and Equipment</w:t>
      </w:r>
    </w:p>
    <w:p w14:paraId="1BE2B854" w14:textId="77777777" w:rsidR="00EE73E8" w:rsidRDefault="00EE73E8" w:rsidP="00EE73E8">
      <w:pPr>
        <w:rPr>
          <w:rFonts w:ascii="Arial" w:hAnsi="Arial" w:cs="Arial"/>
          <w:b/>
        </w:rPr>
      </w:pPr>
    </w:p>
    <w:p w14:paraId="4F563BBC" w14:textId="769B6C9D" w:rsidR="009143FC" w:rsidRDefault="009143FC" w:rsidP="00AD6306">
      <w:pPr>
        <w:autoSpaceDE w:val="0"/>
        <w:autoSpaceDN w:val="0"/>
        <w:adjustRightInd w:val="0"/>
        <w:jc w:val="both"/>
        <w:rPr>
          <w:rFonts w:ascii="Arial" w:hAnsi="Arial" w:cs="Arial"/>
          <w:iCs/>
          <w:sz w:val="22"/>
          <w:szCs w:val="22"/>
        </w:rPr>
      </w:pPr>
      <w:r>
        <w:rPr>
          <w:rFonts w:ascii="Arial" w:hAnsi="Arial" w:cs="Arial"/>
          <w:iCs/>
          <w:sz w:val="22"/>
          <w:szCs w:val="22"/>
        </w:rPr>
        <w:t xml:space="preserve">The University must demonstrate that </w:t>
      </w:r>
      <w:r w:rsidRPr="009143FC">
        <w:rPr>
          <w:rFonts w:ascii="Arial" w:hAnsi="Arial" w:cs="Arial"/>
          <w:iCs/>
          <w:sz w:val="22"/>
          <w:szCs w:val="22"/>
        </w:rPr>
        <w:t>premises and facilities are appropriate for licensed activities and are safe,</w:t>
      </w:r>
      <w:r>
        <w:rPr>
          <w:rFonts w:ascii="Arial" w:hAnsi="Arial" w:cs="Arial"/>
          <w:iCs/>
          <w:sz w:val="22"/>
          <w:szCs w:val="22"/>
        </w:rPr>
        <w:t xml:space="preserve"> </w:t>
      </w:r>
      <w:proofErr w:type="gramStart"/>
      <w:r w:rsidRPr="009143FC">
        <w:rPr>
          <w:rFonts w:ascii="Arial" w:hAnsi="Arial" w:cs="Arial"/>
          <w:iCs/>
          <w:sz w:val="22"/>
          <w:szCs w:val="22"/>
        </w:rPr>
        <w:t>secure</w:t>
      </w:r>
      <w:proofErr w:type="gramEnd"/>
      <w:r w:rsidRPr="009143FC">
        <w:rPr>
          <w:rFonts w:ascii="Arial" w:hAnsi="Arial" w:cs="Arial"/>
          <w:iCs/>
          <w:sz w:val="22"/>
          <w:szCs w:val="22"/>
        </w:rPr>
        <w:t xml:space="preserve"> and clean. In addition, establishments will have systems for on-going</w:t>
      </w:r>
      <w:r>
        <w:rPr>
          <w:rFonts w:ascii="Arial" w:hAnsi="Arial" w:cs="Arial"/>
          <w:iCs/>
          <w:sz w:val="22"/>
          <w:szCs w:val="22"/>
        </w:rPr>
        <w:t xml:space="preserve"> </w:t>
      </w:r>
      <w:r w:rsidRPr="009143FC">
        <w:rPr>
          <w:rFonts w:ascii="Arial" w:hAnsi="Arial" w:cs="Arial"/>
          <w:iCs/>
          <w:sz w:val="22"/>
          <w:szCs w:val="22"/>
        </w:rPr>
        <w:t>monitoring to ensure all key quality specifications are maintained. These</w:t>
      </w:r>
      <w:r>
        <w:rPr>
          <w:rFonts w:ascii="Arial" w:hAnsi="Arial" w:cs="Arial"/>
          <w:iCs/>
          <w:sz w:val="22"/>
          <w:szCs w:val="22"/>
        </w:rPr>
        <w:t xml:space="preserve"> </w:t>
      </w:r>
      <w:r w:rsidR="00203D21">
        <w:rPr>
          <w:rFonts w:ascii="Arial" w:hAnsi="Arial" w:cs="Arial"/>
          <w:iCs/>
          <w:sz w:val="22"/>
          <w:szCs w:val="22"/>
        </w:rPr>
        <w:t>s</w:t>
      </w:r>
      <w:r w:rsidRPr="009143FC">
        <w:rPr>
          <w:rFonts w:ascii="Arial" w:hAnsi="Arial" w:cs="Arial"/>
          <w:iCs/>
          <w:sz w:val="22"/>
          <w:szCs w:val="22"/>
        </w:rPr>
        <w:t>tandards also cover equipment, ensuring that it is appropriate, and suitably</w:t>
      </w:r>
      <w:r>
        <w:rPr>
          <w:rFonts w:ascii="Arial" w:hAnsi="Arial" w:cs="Arial"/>
          <w:iCs/>
          <w:sz w:val="22"/>
          <w:szCs w:val="22"/>
        </w:rPr>
        <w:t xml:space="preserve"> </w:t>
      </w:r>
      <w:r w:rsidRPr="009143FC">
        <w:rPr>
          <w:rFonts w:ascii="Arial" w:hAnsi="Arial" w:cs="Arial"/>
          <w:iCs/>
          <w:sz w:val="22"/>
          <w:szCs w:val="22"/>
        </w:rPr>
        <w:t>maintained, and that it does not present an impediment to the staff using it.</w:t>
      </w:r>
    </w:p>
    <w:p w14:paraId="0C5F4C04" w14:textId="77777777" w:rsidR="009143FC" w:rsidRDefault="009143FC" w:rsidP="009143FC">
      <w:pPr>
        <w:autoSpaceDE w:val="0"/>
        <w:autoSpaceDN w:val="0"/>
        <w:adjustRightInd w:val="0"/>
        <w:rPr>
          <w:rFonts w:ascii="Arial" w:hAnsi="Arial" w:cs="Arial"/>
          <w:iCs/>
          <w:sz w:val="22"/>
          <w:szCs w:val="22"/>
        </w:rPr>
      </w:pPr>
    </w:p>
    <w:p w14:paraId="1C684014" w14:textId="199AD3B4" w:rsidR="004629AF" w:rsidRDefault="004629AF">
      <w:pPr>
        <w:rPr>
          <w:rFonts w:ascii="Arial" w:hAnsi="Arial" w:cs="Arial"/>
          <w:b/>
          <w:bCs/>
        </w:rPr>
      </w:pPr>
      <w:bookmarkStart w:id="15" w:name="_Toc417640712"/>
      <w:bookmarkStart w:id="16" w:name="_Toc417640766"/>
      <w:r>
        <w:br w:type="page"/>
      </w:r>
    </w:p>
    <w:p w14:paraId="44762493" w14:textId="4B3A735B" w:rsidR="00C32310" w:rsidRPr="005D0531" w:rsidRDefault="000C222A" w:rsidP="005D0531">
      <w:pPr>
        <w:pStyle w:val="Heading1"/>
        <w:numPr>
          <w:ilvl w:val="0"/>
          <w:numId w:val="0"/>
        </w:numPr>
        <w:jc w:val="left"/>
      </w:pPr>
      <w:r w:rsidRPr="005D0531">
        <w:lastRenderedPageBreak/>
        <w:t xml:space="preserve">Part C: </w:t>
      </w:r>
      <w:r w:rsidR="0051355F">
        <w:t>W</w:t>
      </w:r>
      <w:r w:rsidR="0051355F" w:rsidRPr="005D0531">
        <w:t xml:space="preserve">orking </w:t>
      </w:r>
      <w:r w:rsidRPr="005D0531">
        <w:t>under a</w:t>
      </w:r>
      <w:r w:rsidR="00AD6306">
        <w:t>n</w:t>
      </w:r>
      <w:r w:rsidRPr="005D0531">
        <w:t xml:space="preserve"> HTA licensing exemption</w:t>
      </w:r>
      <w:bookmarkEnd w:id="15"/>
      <w:bookmarkEnd w:id="16"/>
      <w:r w:rsidRPr="005D0531">
        <w:t xml:space="preserve"> </w:t>
      </w:r>
    </w:p>
    <w:p w14:paraId="0365ED9A" w14:textId="77777777" w:rsidR="000C222A" w:rsidRDefault="000C222A">
      <w:pPr>
        <w:jc w:val="both"/>
        <w:rPr>
          <w:rFonts w:ascii="Arial" w:hAnsi="Arial" w:cs="Arial"/>
          <w:sz w:val="22"/>
          <w:szCs w:val="22"/>
        </w:rPr>
      </w:pPr>
    </w:p>
    <w:p w14:paraId="7858EA62" w14:textId="77777777" w:rsidR="00F20A17" w:rsidRPr="00DB2886" w:rsidRDefault="00DB2886" w:rsidP="00D42745">
      <w:pPr>
        <w:pStyle w:val="BodyText"/>
        <w:numPr>
          <w:ilvl w:val="0"/>
          <w:numId w:val="35"/>
        </w:numPr>
        <w:jc w:val="both"/>
        <w:rPr>
          <w:b/>
          <w:bCs/>
          <w:sz w:val="24"/>
        </w:rPr>
      </w:pPr>
      <w:r w:rsidRPr="00DB2886">
        <w:rPr>
          <w:b/>
          <w:bCs/>
          <w:sz w:val="24"/>
        </w:rPr>
        <w:t>Introduction</w:t>
      </w:r>
    </w:p>
    <w:p w14:paraId="0624AFB6" w14:textId="77777777" w:rsidR="00DB2886" w:rsidRDefault="00DB2886">
      <w:pPr>
        <w:pStyle w:val="BodyText"/>
        <w:jc w:val="both"/>
        <w:rPr>
          <w:bCs/>
        </w:rPr>
      </w:pPr>
    </w:p>
    <w:p w14:paraId="48758134" w14:textId="193CB09F" w:rsidR="000651CA" w:rsidRDefault="00DB2886">
      <w:pPr>
        <w:pStyle w:val="BodyText"/>
        <w:jc w:val="both"/>
        <w:rPr>
          <w:bCs/>
        </w:rPr>
      </w:pPr>
      <w:r>
        <w:rPr>
          <w:bCs/>
        </w:rPr>
        <w:t xml:space="preserve">A </w:t>
      </w:r>
      <w:r w:rsidR="00203D21">
        <w:rPr>
          <w:bCs/>
        </w:rPr>
        <w:t>L</w:t>
      </w:r>
      <w:r>
        <w:rPr>
          <w:bCs/>
        </w:rPr>
        <w:t xml:space="preserve">icence is required to </w:t>
      </w:r>
      <w:r w:rsidR="00483CF2">
        <w:rPr>
          <w:bCs/>
        </w:rPr>
        <w:t>store Relevant Material</w:t>
      </w:r>
      <w:r>
        <w:rPr>
          <w:bCs/>
        </w:rPr>
        <w:t xml:space="preserve"> for research unless a licence exemption applies.</w:t>
      </w:r>
      <w:r w:rsidR="007333E2">
        <w:rPr>
          <w:bCs/>
        </w:rPr>
        <w:t xml:space="preserve"> </w:t>
      </w:r>
      <w:r w:rsidR="000651CA">
        <w:rPr>
          <w:bCs/>
        </w:rPr>
        <w:t xml:space="preserve">This section details </w:t>
      </w:r>
      <w:r>
        <w:rPr>
          <w:bCs/>
        </w:rPr>
        <w:t xml:space="preserve">how to work with Relevant Material </w:t>
      </w:r>
      <w:r w:rsidRPr="000C222A">
        <w:rPr>
          <w:bCs/>
        </w:rPr>
        <w:t>under a</w:t>
      </w:r>
      <w:r w:rsidR="00AD6306">
        <w:rPr>
          <w:bCs/>
        </w:rPr>
        <w:t>n</w:t>
      </w:r>
      <w:r w:rsidRPr="000C222A">
        <w:rPr>
          <w:bCs/>
        </w:rPr>
        <w:t xml:space="preserve"> HTA licensing exemption.</w:t>
      </w:r>
      <w:r w:rsidR="001426FE">
        <w:rPr>
          <w:bCs/>
        </w:rPr>
        <w:t xml:space="preserve"> If you are working under a </w:t>
      </w:r>
      <w:proofErr w:type="gramStart"/>
      <w:r w:rsidR="00203D21">
        <w:rPr>
          <w:bCs/>
        </w:rPr>
        <w:t>L</w:t>
      </w:r>
      <w:r w:rsidR="001426FE">
        <w:rPr>
          <w:bCs/>
        </w:rPr>
        <w:t>icence</w:t>
      </w:r>
      <w:proofErr w:type="gramEnd"/>
      <w:r w:rsidR="001426FE">
        <w:rPr>
          <w:bCs/>
        </w:rPr>
        <w:t xml:space="preserve"> please refer to </w:t>
      </w:r>
      <w:r w:rsidR="001426FE" w:rsidRPr="000C222A">
        <w:rPr>
          <w:bCs/>
        </w:rPr>
        <w:t xml:space="preserve">Part </w:t>
      </w:r>
      <w:r w:rsidR="001426FE">
        <w:rPr>
          <w:bCs/>
        </w:rPr>
        <w:t>B.</w:t>
      </w:r>
    </w:p>
    <w:p w14:paraId="5EEA888C" w14:textId="77777777" w:rsidR="00DB2886" w:rsidRDefault="00DB2886">
      <w:pPr>
        <w:pStyle w:val="BodyText"/>
        <w:jc w:val="both"/>
        <w:rPr>
          <w:bCs/>
        </w:rPr>
      </w:pPr>
    </w:p>
    <w:p w14:paraId="668548D6" w14:textId="48507058" w:rsidR="00F20A17" w:rsidRDefault="00C32310">
      <w:pPr>
        <w:pStyle w:val="BodyText"/>
        <w:jc w:val="both"/>
        <w:rPr>
          <w:bCs/>
        </w:rPr>
      </w:pPr>
      <w:r>
        <w:rPr>
          <w:bCs/>
        </w:rPr>
        <w:t>Most research involving Relevant Material at the University is undertaken with a favourable opinion from a</w:t>
      </w:r>
      <w:r w:rsidR="00AD6306">
        <w:rPr>
          <w:bCs/>
        </w:rPr>
        <w:t>n</w:t>
      </w:r>
      <w:r>
        <w:rPr>
          <w:bCs/>
        </w:rPr>
        <w:t xml:space="preserve"> NHS REC, this constitutes a</w:t>
      </w:r>
      <w:r w:rsidR="009E048B">
        <w:rPr>
          <w:bCs/>
        </w:rPr>
        <w:t>n</w:t>
      </w:r>
      <w:r>
        <w:rPr>
          <w:bCs/>
        </w:rPr>
        <w:t xml:space="preserve"> HTA licensing exemption. </w:t>
      </w:r>
      <w:r w:rsidR="00067DC9">
        <w:rPr>
          <w:bCs/>
        </w:rPr>
        <w:t xml:space="preserve">Researchers </w:t>
      </w:r>
      <w:r w:rsidR="000C222A">
        <w:rPr>
          <w:bCs/>
        </w:rPr>
        <w:t>should</w:t>
      </w:r>
      <w:r w:rsidR="00067DC9">
        <w:rPr>
          <w:bCs/>
        </w:rPr>
        <w:t xml:space="preserve"> manage samples in line with specifications made in </w:t>
      </w:r>
      <w:r w:rsidR="000C222A">
        <w:rPr>
          <w:bCs/>
        </w:rPr>
        <w:t xml:space="preserve">the </w:t>
      </w:r>
      <w:r w:rsidR="00067DC9">
        <w:rPr>
          <w:bCs/>
        </w:rPr>
        <w:t xml:space="preserve">protocol and ethics application. This includes record keeping, sample transfer, adverse event reporting and disposal. Further information on good practice in these areas is available in Part B, especially if you are considering moving </w:t>
      </w:r>
      <w:r w:rsidR="00823869">
        <w:rPr>
          <w:bCs/>
        </w:rPr>
        <w:t xml:space="preserve">Relevant Material </w:t>
      </w:r>
      <w:r w:rsidR="00067DC9">
        <w:rPr>
          <w:bCs/>
        </w:rPr>
        <w:t xml:space="preserve">onto a </w:t>
      </w:r>
      <w:r w:rsidR="00203D21">
        <w:rPr>
          <w:bCs/>
        </w:rPr>
        <w:t>L</w:t>
      </w:r>
      <w:r w:rsidR="00067DC9">
        <w:rPr>
          <w:bCs/>
        </w:rPr>
        <w:t>icence at the end of the study.</w:t>
      </w:r>
    </w:p>
    <w:p w14:paraId="22481BC0" w14:textId="77777777" w:rsidR="00F20A17" w:rsidRDefault="00F20A17">
      <w:pPr>
        <w:pStyle w:val="BodyText"/>
        <w:jc w:val="both"/>
        <w:rPr>
          <w:bCs/>
        </w:rPr>
      </w:pPr>
    </w:p>
    <w:p w14:paraId="435D5EB4" w14:textId="77777777" w:rsidR="001B0E03" w:rsidRDefault="00250400" w:rsidP="00D42745">
      <w:pPr>
        <w:pStyle w:val="BodyText"/>
        <w:numPr>
          <w:ilvl w:val="0"/>
          <w:numId w:val="35"/>
        </w:numPr>
        <w:jc w:val="both"/>
        <w:rPr>
          <w:b/>
          <w:bCs/>
          <w:sz w:val="24"/>
        </w:rPr>
      </w:pPr>
      <w:r w:rsidRPr="00250400">
        <w:rPr>
          <w:b/>
          <w:bCs/>
          <w:sz w:val="24"/>
        </w:rPr>
        <w:t>Setting up a new study</w:t>
      </w:r>
    </w:p>
    <w:p w14:paraId="700703F1" w14:textId="77777777" w:rsidR="00250400" w:rsidRPr="00881239" w:rsidRDefault="00250400">
      <w:pPr>
        <w:pStyle w:val="BodyText"/>
        <w:jc w:val="both"/>
        <w:rPr>
          <w:bCs/>
          <w:sz w:val="18"/>
        </w:rPr>
      </w:pPr>
    </w:p>
    <w:p w14:paraId="73E465FC" w14:textId="77777777" w:rsidR="00236D15" w:rsidRDefault="00881239">
      <w:pPr>
        <w:pStyle w:val="BodyText"/>
        <w:jc w:val="both"/>
        <w:rPr>
          <w:szCs w:val="27"/>
        </w:rPr>
      </w:pPr>
      <w:r w:rsidRPr="008767C5">
        <w:rPr>
          <w:szCs w:val="27"/>
        </w:rPr>
        <w:t xml:space="preserve">Research that involves the storage, collection, use and/or import of human tissue </w:t>
      </w:r>
      <w:r w:rsidR="008E7109" w:rsidRPr="008767C5">
        <w:rPr>
          <w:szCs w:val="27"/>
        </w:rPr>
        <w:t xml:space="preserve">to include Relevant Material </w:t>
      </w:r>
      <w:r w:rsidR="00C067F6" w:rsidRPr="008767C5">
        <w:rPr>
          <w:szCs w:val="27"/>
        </w:rPr>
        <w:t>(</w:t>
      </w:r>
      <w:r w:rsidR="00C067F6" w:rsidRPr="008767C5">
        <w:t>paragraph 79 of Code E)</w:t>
      </w:r>
      <w:r w:rsidR="008E7109" w:rsidRPr="008767C5">
        <w:rPr>
          <w:szCs w:val="27"/>
        </w:rPr>
        <w:t xml:space="preserve"> </w:t>
      </w:r>
      <w:r w:rsidRPr="008767C5">
        <w:rPr>
          <w:szCs w:val="27"/>
        </w:rPr>
        <w:t>requires an ethical review by a</w:t>
      </w:r>
      <w:r w:rsidR="00AD6306">
        <w:rPr>
          <w:szCs w:val="27"/>
        </w:rPr>
        <w:t>n</w:t>
      </w:r>
      <w:r w:rsidRPr="008767C5">
        <w:rPr>
          <w:szCs w:val="27"/>
        </w:rPr>
        <w:t xml:space="preserve"> NHS REC. This includes research involving healthy volunteers on non-NHS premises. University ethics committees are not recognised under the Human Tissue Act.</w:t>
      </w:r>
      <w:r w:rsidR="007333E2">
        <w:t xml:space="preserve"> </w:t>
      </w:r>
      <w:r w:rsidR="008437BA" w:rsidRPr="008767C5">
        <w:rPr>
          <w:szCs w:val="27"/>
        </w:rPr>
        <w:t>Dual ethics review is not required and should be avoided</w:t>
      </w:r>
      <w:r w:rsidR="008437BA" w:rsidRPr="00F73C33">
        <w:rPr>
          <w:szCs w:val="27"/>
        </w:rPr>
        <w:t>.</w:t>
      </w:r>
      <w:r w:rsidR="00415700" w:rsidRPr="00F73C33">
        <w:rPr>
          <w:szCs w:val="27"/>
        </w:rPr>
        <w:t xml:space="preserve"> </w:t>
      </w:r>
    </w:p>
    <w:p w14:paraId="221D0836" w14:textId="77777777" w:rsidR="00236D15" w:rsidRDefault="00236D15">
      <w:pPr>
        <w:pStyle w:val="BodyText"/>
        <w:jc w:val="both"/>
        <w:rPr>
          <w:szCs w:val="27"/>
        </w:rPr>
      </w:pPr>
    </w:p>
    <w:p w14:paraId="0733A390" w14:textId="77777777" w:rsidR="00AA38DE" w:rsidRDefault="00236D15" w:rsidP="00236D15">
      <w:pPr>
        <w:pStyle w:val="BodyText"/>
        <w:jc w:val="both"/>
        <w:rPr>
          <w:szCs w:val="27"/>
        </w:rPr>
      </w:pPr>
      <w:r>
        <w:rPr>
          <w:szCs w:val="27"/>
        </w:rPr>
        <w:t xml:space="preserve">The Human Tissue Act </w:t>
      </w:r>
      <w:r w:rsidRPr="00236D15">
        <w:rPr>
          <w:szCs w:val="27"/>
        </w:rPr>
        <w:t>requires that consent must</w:t>
      </w:r>
      <w:r>
        <w:rPr>
          <w:szCs w:val="27"/>
        </w:rPr>
        <w:t xml:space="preserve"> </w:t>
      </w:r>
      <w:r w:rsidRPr="00236D15">
        <w:rPr>
          <w:szCs w:val="27"/>
        </w:rPr>
        <w:t xml:space="preserve">be sought for the removal, storage and use of human tissue for </w:t>
      </w:r>
      <w:r>
        <w:rPr>
          <w:bCs/>
        </w:rPr>
        <w:t xml:space="preserve">Scheduled Purposes, </w:t>
      </w:r>
      <w:proofErr w:type="gramStart"/>
      <w:r>
        <w:rPr>
          <w:bCs/>
        </w:rPr>
        <w:t>e.g.</w:t>
      </w:r>
      <w:proofErr w:type="gramEnd"/>
      <w:r>
        <w:rPr>
          <w:bCs/>
        </w:rPr>
        <w:t xml:space="preserve"> research</w:t>
      </w:r>
      <w:r w:rsidRPr="00236D15">
        <w:rPr>
          <w:szCs w:val="27"/>
        </w:rPr>
        <w:t xml:space="preserve">, subject to the exceptions set out </w:t>
      </w:r>
      <w:r>
        <w:rPr>
          <w:szCs w:val="27"/>
        </w:rPr>
        <w:t>in Part B, 3a of</w:t>
      </w:r>
      <w:r w:rsidRPr="00236D15">
        <w:rPr>
          <w:szCs w:val="27"/>
        </w:rPr>
        <w:t xml:space="preserve"> this</w:t>
      </w:r>
      <w:r>
        <w:rPr>
          <w:szCs w:val="27"/>
        </w:rPr>
        <w:t xml:space="preserve"> </w:t>
      </w:r>
      <w:r w:rsidRPr="00236D15">
        <w:rPr>
          <w:szCs w:val="27"/>
        </w:rPr>
        <w:t>Code.</w:t>
      </w:r>
      <w:r w:rsidR="00B40791">
        <w:rPr>
          <w:szCs w:val="27"/>
        </w:rPr>
        <w:t xml:space="preserve"> </w:t>
      </w:r>
    </w:p>
    <w:p w14:paraId="71DF937B" w14:textId="77777777" w:rsidR="00AA38DE" w:rsidRDefault="00AA38DE" w:rsidP="00236D15">
      <w:pPr>
        <w:pStyle w:val="BodyText"/>
        <w:jc w:val="both"/>
        <w:rPr>
          <w:szCs w:val="27"/>
        </w:rPr>
      </w:pPr>
    </w:p>
    <w:p w14:paraId="2BC0585B" w14:textId="63168455" w:rsidR="00B40791" w:rsidRDefault="00B40791" w:rsidP="00236D15">
      <w:pPr>
        <w:pStyle w:val="BodyText"/>
        <w:jc w:val="both"/>
        <w:rPr>
          <w:szCs w:val="27"/>
        </w:rPr>
      </w:pPr>
      <w:r>
        <w:rPr>
          <w:szCs w:val="27"/>
        </w:rPr>
        <w:t>In addition:</w:t>
      </w:r>
    </w:p>
    <w:p w14:paraId="62C483D9" w14:textId="6B211915" w:rsidR="00B40791" w:rsidRDefault="00B40791" w:rsidP="00236D15">
      <w:pPr>
        <w:pStyle w:val="BodyText"/>
        <w:jc w:val="both"/>
        <w:rPr>
          <w:szCs w:val="27"/>
        </w:rPr>
      </w:pPr>
      <w:r>
        <w:rPr>
          <w:szCs w:val="27"/>
        </w:rPr>
        <w:t>-</w:t>
      </w:r>
      <w:r w:rsidR="00236D15">
        <w:rPr>
          <w:szCs w:val="27"/>
        </w:rPr>
        <w:t xml:space="preserve"> </w:t>
      </w:r>
      <w:r w:rsidR="00F20178" w:rsidRPr="00F73C33">
        <w:rPr>
          <w:szCs w:val="27"/>
        </w:rPr>
        <w:t xml:space="preserve">If the intention is to collect Bodily Material with the aim of DNA analysis, consent </w:t>
      </w:r>
      <w:r w:rsidR="00D23FDC">
        <w:rPr>
          <w:szCs w:val="27"/>
        </w:rPr>
        <w:t xml:space="preserve">for this purpose </w:t>
      </w:r>
      <w:r w:rsidR="00F20178" w:rsidRPr="00F73C33">
        <w:rPr>
          <w:szCs w:val="27"/>
        </w:rPr>
        <w:t>must be obtained</w:t>
      </w:r>
      <w:r w:rsidR="00D23FDC">
        <w:rPr>
          <w:szCs w:val="27"/>
        </w:rPr>
        <w:t xml:space="preserve"> a</w:t>
      </w:r>
      <w:r w:rsidR="00AA38DE">
        <w:rPr>
          <w:szCs w:val="27"/>
        </w:rPr>
        <w:t>t</w:t>
      </w:r>
      <w:r w:rsidR="00D23FDC">
        <w:rPr>
          <w:szCs w:val="27"/>
        </w:rPr>
        <w:t xml:space="preserve"> </w:t>
      </w:r>
      <w:r w:rsidR="00EC7142">
        <w:rPr>
          <w:bCs/>
          <w:szCs w:val="22"/>
        </w:rPr>
        <w:t>the start of the study</w:t>
      </w:r>
      <w:r w:rsidR="00EC7142">
        <w:rPr>
          <w:szCs w:val="27"/>
        </w:rPr>
        <w:t xml:space="preserve"> </w:t>
      </w:r>
      <w:r w:rsidR="00D23FDC">
        <w:rPr>
          <w:szCs w:val="27"/>
        </w:rPr>
        <w:t>(see below).</w:t>
      </w:r>
      <w:r w:rsidR="00F20178">
        <w:rPr>
          <w:szCs w:val="27"/>
        </w:rPr>
        <w:t xml:space="preserve"> </w:t>
      </w:r>
    </w:p>
    <w:p w14:paraId="13EC13B2" w14:textId="12C27485" w:rsidR="00F20178" w:rsidRPr="008767C5" w:rsidRDefault="00B40791" w:rsidP="00236D15">
      <w:pPr>
        <w:pStyle w:val="BodyText"/>
        <w:jc w:val="both"/>
        <w:rPr>
          <w:szCs w:val="27"/>
        </w:rPr>
      </w:pPr>
      <w:r>
        <w:rPr>
          <w:szCs w:val="27"/>
        </w:rPr>
        <w:t xml:space="preserve">- </w:t>
      </w:r>
      <w:r w:rsidRPr="009B76C8">
        <w:rPr>
          <w:bCs/>
          <w:szCs w:val="22"/>
        </w:rPr>
        <w:t>If there is an intention to store samples beyond the life of a study</w:t>
      </w:r>
      <w:r>
        <w:rPr>
          <w:bCs/>
          <w:szCs w:val="22"/>
        </w:rPr>
        <w:t xml:space="preserve"> consent for future storage and use should be taken at the start of the study.</w:t>
      </w:r>
    </w:p>
    <w:p w14:paraId="24A8F1A4" w14:textId="77777777" w:rsidR="00415700" w:rsidRPr="00707793" w:rsidRDefault="00415700">
      <w:pPr>
        <w:pStyle w:val="BodyText"/>
        <w:jc w:val="both"/>
        <w:rPr>
          <w:szCs w:val="27"/>
        </w:rPr>
      </w:pPr>
    </w:p>
    <w:p w14:paraId="78A30794" w14:textId="482E08A5" w:rsidR="00C918CB" w:rsidRPr="00707793" w:rsidRDefault="00415700">
      <w:pPr>
        <w:pStyle w:val="BodyText"/>
        <w:jc w:val="both"/>
        <w:rPr>
          <w:szCs w:val="27"/>
        </w:rPr>
      </w:pPr>
      <w:r w:rsidRPr="00707793">
        <w:rPr>
          <w:szCs w:val="27"/>
        </w:rPr>
        <w:t xml:space="preserve">There are circumstances where a favourable opinion from a </w:t>
      </w:r>
      <w:proofErr w:type="gramStart"/>
      <w:r w:rsidRPr="00707793">
        <w:rPr>
          <w:szCs w:val="27"/>
        </w:rPr>
        <w:t>University</w:t>
      </w:r>
      <w:proofErr w:type="gramEnd"/>
      <w:r w:rsidRPr="00707793">
        <w:rPr>
          <w:szCs w:val="27"/>
        </w:rPr>
        <w:t xml:space="preserve"> ethics committee can be obtained with prior agreement of the Research Governance Team</w:t>
      </w:r>
      <w:r w:rsidR="00F366A6">
        <w:rPr>
          <w:szCs w:val="27"/>
        </w:rPr>
        <w:t>.</w:t>
      </w:r>
      <w:r w:rsidRPr="00707793">
        <w:rPr>
          <w:szCs w:val="27"/>
        </w:rPr>
        <w:t xml:space="preserve"> </w:t>
      </w:r>
    </w:p>
    <w:p w14:paraId="7C265B99" w14:textId="77777777" w:rsidR="00C918CB" w:rsidRPr="00707793" w:rsidRDefault="00C918CB">
      <w:pPr>
        <w:pStyle w:val="BodyText"/>
        <w:jc w:val="both"/>
        <w:rPr>
          <w:szCs w:val="27"/>
        </w:rPr>
      </w:pPr>
    </w:p>
    <w:p w14:paraId="004ADE9F" w14:textId="0ADEDEE1" w:rsidR="00250400" w:rsidRPr="00707793" w:rsidRDefault="00C918CB">
      <w:pPr>
        <w:pStyle w:val="BodyText"/>
        <w:jc w:val="both"/>
        <w:rPr>
          <w:szCs w:val="27"/>
        </w:rPr>
      </w:pPr>
      <w:r w:rsidRPr="00707793">
        <w:rPr>
          <w:szCs w:val="27"/>
        </w:rPr>
        <w:t>Possible scenarios for seeking University ethics review and work</w:t>
      </w:r>
      <w:r w:rsidR="004A50CA">
        <w:rPr>
          <w:szCs w:val="27"/>
        </w:rPr>
        <w:t>ing</w:t>
      </w:r>
      <w:r w:rsidRPr="00707793">
        <w:rPr>
          <w:szCs w:val="27"/>
        </w:rPr>
        <w:t xml:space="preserve"> under a</w:t>
      </w:r>
      <w:r w:rsidR="009E048B">
        <w:rPr>
          <w:szCs w:val="27"/>
        </w:rPr>
        <w:t>n</w:t>
      </w:r>
      <w:r w:rsidRPr="00707793">
        <w:rPr>
          <w:szCs w:val="27"/>
        </w:rPr>
        <w:t xml:space="preserve"> HTA licensing exemption</w:t>
      </w:r>
      <w:r w:rsidR="0093399D">
        <w:rPr>
          <w:szCs w:val="27"/>
        </w:rPr>
        <w:t>:</w:t>
      </w:r>
    </w:p>
    <w:p w14:paraId="4CA1DE4D" w14:textId="77777777" w:rsidR="00C918CB" w:rsidRPr="00707793" w:rsidRDefault="00C918CB">
      <w:pPr>
        <w:pStyle w:val="BodyText"/>
        <w:jc w:val="both"/>
        <w:rPr>
          <w:szCs w:val="27"/>
        </w:rPr>
      </w:pPr>
    </w:p>
    <w:p w14:paraId="756A03A5" w14:textId="77777777" w:rsidR="00AA38DE" w:rsidRDefault="00C918CB" w:rsidP="00A735FD">
      <w:pPr>
        <w:pStyle w:val="BodyText"/>
        <w:numPr>
          <w:ilvl w:val="0"/>
          <w:numId w:val="52"/>
        </w:numPr>
        <w:jc w:val="both"/>
        <w:rPr>
          <w:szCs w:val="27"/>
        </w:rPr>
      </w:pPr>
      <w:r w:rsidRPr="00AA38DE">
        <w:rPr>
          <w:szCs w:val="27"/>
        </w:rPr>
        <w:t xml:space="preserve">researchers will hold the </w:t>
      </w:r>
      <w:r w:rsidR="00DF6201" w:rsidRPr="00AA38DE">
        <w:rPr>
          <w:szCs w:val="27"/>
        </w:rPr>
        <w:t xml:space="preserve">Relevant Material </w:t>
      </w:r>
      <w:r w:rsidR="001336AE" w:rsidRPr="00AA38DE">
        <w:rPr>
          <w:szCs w:val="27"/>
        </w:rPr>
        <w:t xml:space="preserve">temporarily and </w:t>
      </w:r>
      <w:r w:rsidRPr="00AA38DE">
        <w:rPr>
          <w:szCs w:val="27"/>
        </w:rPr>
        <w:t>for no longer than a week prior to transporting the samples elsewhere</w:t>
      </w:r>
      <w:r w:rsidR="00DF6201" w:rsidRPr="00AA38DE">
        <w:rPr>
          <w:szCs w:val="27"/>
        </w:rPr>
        <w:t>;</w:t>
      </w:r>
      <w:r w:rsidRPr="00AA38DE">
        <w:rPr>
          <w:szCs w:val="27"/>
        </w:rPr>
        <w:t xml:space="preserve"> or </w:t>
      </w:r>
    </w:p>
    <w:p w14:paraId="2CAA496A" w14:textId="06152CF2" w:rsidR="00C918CB" w:rsidRPr="00AA38DE" w:rsidRDefault="00C918CB" w:rsidP="00A735FD">
      <w:pPr>
        <w:pStyle w:val="BodyText"/>
        <w:numPr>
          <w:ilvl w:val="0"/>
          <w:numId w:val="52"/>
        </w:numPr>
        <w:jc w:val="both"/>
        <w:rPr>
          <w:szCs w:val="27"/>
        </w:rPr>
      </w:pPr>
      <w:r w:rsidRPr="00AA38DE">
        <w:rPr>
          <w:szCs w:val="27"/>
        </w:rPr>
        <w:t xml:space="preserve">researchers will hold the </w:t>
      </w:r>
      <w:r w:rsidR="00DF6201" w:rsidRPr="00AA38DE">
        <w:rPr>
          <w:szCs w:val="27"/>
        </w:rPr>
        <w:t xml:space="preserve">Relevant Material </w:t>
      </w:r>
      <w:r w:rsidR="00F75476" w:rsidRPr="00AA38DE">
        <w:rPr>
          <w:szCs w:val="27"/>
        </w:rPr>
        <w:t xml:space="preserve">for no longer than a week </w:t>
      </w:r>
      <w:r w:rsidR="00484D1C" w:rsidRPr="00AA38DE">
        <w:rPr>
          <w:szCs w:val="27"/>
        </w:rPr>
        <w:t xml:space="preserve">where there is no intention to use or store cellular material for research, and the only holding of cellular material is temporary and for the purpose of obtaining material which does not contain cells </w:t>
      </w:r>
    </w:p>
    <w:p w14:paraId="3F0A1A84" w14:textId="77777777" w:rsidR="006743EF" w:rsidRPr="00762773" w:rsidRDefault="006743EF" w:rsidP="00762773">
      <w:pPr>
        <w:pStyle w:val="BodyText"/>
        <w:jc w:val="both"/>
        <w:rPr>
          <w:szCs w:val="27"/>
        </w:rPr>
      </w:pPr>
    </w:p>
    <w:p w14:paraId="4D2E1656" w14:textId="07FA6967" w:rsidR="00C918CB" w:rsidRPr="00707793" w:rsidRDefault="00C918CB" w:rsidP="00C918CB">
      <w:pPr>
        <w:pStyle w:val="BodyText"/>
        <w:jc w:val="both"/>
        <w:rPr>
          <w:szCs w:val="27"/>
        </w:rPr>
      </w:pPr>
      <w:r w:rsidRPr="00CC5343">
        <w:rPr>
          <w:b/>
          <w:bCs/>
          <w:szCs w:val="27"/>
        </w:rPr>
        <w:t>Please note</w:t>
      </w:r>
      <w:r w:rsidRPr="00707793">
        <w:rPr>
          <w:szCs w:val="27"/>
        </w:rPr>
        <w:t xml:space="preserve">: </w:t>
      </w:r>
    </w:p>
    <w:p w14:paraId="78DA1D5D" w14:textId="31D3DC82" w:rsidR="00C918CB" w:rsidRPr="00707793" w:rsidRDefault="00C918CB" w:rsidP="00C918CB">
      <w:pPr>
        <w:pStyle w:val="BodyText"/>
        <w:jc w:val="both"/>
        <w:rPr>
          <w:szCs w:val="27"/>
        </w:rPr>
      </w:pPr>
      <w:r w:rsidRPr="00707793">
        <w:rPr>
          <w:szCs w:val="27"/>
        </w:rPr>
        <w:t>The HTA Code</w:t>
      </w:r>
      <w:r w:rsidR="008767C5">
        <w:rPr>
          <w:szCs w:val="27"/>
        </w:rPr>
        <w:t xml:space="preserve"> </w:t>
      </w:r>
      <w:r w:rsidR="00562158" w:rsidRPr="00707793">
        <w:rPr>
          <w:szCs w:val="27"/>
        </w:rPr>
        <w:t xml:space="preserve">indicates that </w:t>
      </w:r>
      <w:r w:rsidRPr="00707793">
        <w:rPr>
          <w:szCs w:val="27"/>
        </w:rPr>
        <w:t xml:space="preserve">studies which plan to collect samples </w:t>
      </w:r>
      <w:r w:rsidR="005827D7">
        <w:rPr>
          <w:szCs w:val="27"/>
        </w:rPr>
        <w:t xml:space="preserve">that are Relevant Material </w:t>
      </w:r>
      <w:r w:rsidRPr="00707793">
        <w:rPr>
          <w:szCs w:val="27"/>
        </w:rPr>
        <w:t xml:space="preserve">and store them solely for the purpose of research within the week timeframe </w:t>
      </w:r>
      <w:proofErr w:type="gramStart"/>
      <w:r w:rsidRPr="00707793">
        <w:rPr>
          <w:szCs w:val="27"/>
        </w:rPr>
        <w:t>e.g.</w:t>
      </w:r>
      <w:proofErr w:type="gramEnd"/>
      <w:r w:rsidRPr="00707793">
        <w:rPr>
          <w:szCs w:val="27"/>
        </w:rPr>
        <w:t xml:space="preserve"> processin</w:t>
      </w:r>
      <w:r w:rsidR="00562158" w:rsidRPr="00707793">
        <w:rPr>
          <w:szCs w:val="27"/>
        </w:rPr>
        <w:t>g a blood sample and analysing</w:t>
      </w:r>
      <w:r w:rsidRPr="00707793">
        <w:rPr>
          <w:szCs w:val="27"/>
        </w:rPr>
        <w:t xml:space="preserve"> in that week require a HTA licence, or</w:t>
      </w:r>
      <w:r w:rsidR="00562158" w:rsidRPr="00707793">
        <w:rPr>
          <w:szCs w:val="27"/>
        </w:rPr>
        <w:t xml:space="preserve"> </w:t>
      </w:r>
      <w:r w:rsidRPr="00707793">
        <w:rPr>
          <w:szCs w:val="27"/>
        </w:rPr>
        <w:t xml:space="preserve">NHS REC review so that the study works under a HTA licence exemption (N.B. sample analysis </w:t>
      </w:r>
      <w:r w:rsidR="005827D7">
        <w:rPr>
          <w:szCs w:val="27"/>
        </w:rPr>
        <w:t xml:space="preserve">of Relevant Material </w:t>
      </w:r>
      <w:r w:rsidRPr="00707793">
        <w:rPr>
          <w:szCs w:val="27"/>
        </w:rPr>
        <w:t>immediately upon collection is fine as no storage is planned).</w:t>
      </w:r>
      <w:r w:rsidR="00C55A22">
        <w:rPr>
          <w:szCs w:val="27"/>
        </w:rPr>
        <w:t xml:space="preserve"> Please contact the Research and Human Tissue Manager to con</w:t>
      </w:r>
      <w:r w:rsidR="00141839">
        <w:rPr>
          <w:szCs w:val="27"/>
        </w:rPr>
        <w:t>firm the appropriate governance pathway.</w:t>
      </w:r>
    </w:p>
    <w:p w14:paraId="534B3C86" w14:textId="77777777" w:rsidR="00B9326A" w:rsidRDefault="00B9326A">
      <w:pPr>
        <w:pStyle w:val="BodyText"/>
        <w:jc w:val="both"/>
        <w:rPr>
          <w:color w:val="333333"/>
          <w:szCs w:val="27"/>
        </w:rPr>
      </w:pPr>
    </w:p>
    <w:p w14:paraId="730AB012" w14:textId="6390DB61" w:rsidR="002F4156" w:rsidRPr="00CC5343" w:rsidRDefault="00CC5343" w:rsidP="00B9326A">
      <w:pPr>
        <w:jc w:val="both"/>
        <w:rPr>
          <w:rFonts w:ascii="Arial" w:hAnsi="Arial" w:cs="Arial"/>
          <w:i/>
          <w:iCs/>
          <w:sz w:val="22"/>
          <w:szCs w:val="22"/>
        </w:rPr>
      </w:pPr>
      <w:r>
        <w:rPr>
          <w:rFonts w:ascii="Arial" w:hAnsi="Arial" w:cs="Arial"/>
          <w:i/>
          <w:iCs/>
          <w:sz w:val="22"/>
          <w:szCs w:val="22"/>
        </w:rPr>
        <w:t>DNA analysis</w:t>
      </w:r>
    </w:p>
    <w:p w14:paraId="7B9F4ABE" w14:textId="7F1AD8EF" w:rsidR="00E64889" w:rsidRDefault="00B9326A" w:rsidP="00B9326A">
      <w:pPr>
        <w:jc w:val="both"/>
        <w:rPr>
          <w:rFonts w:ascii="Arial" w:hAnsi="Arial" w:cs="Arial"/>
          <w:sz w:val="22"/>
          <w:szCs w:val="22"/>
        </w:rPr>
      </w:pPr>
      <w:r>
        <w:rPr>
          <w:rFonts w:ascii="Arial" w:hAnsi="Arial" w:cs="Arial"/>
          <w:sz w:val="22"/>
          <w:szCs w:val="22"/>
        </w:rPr>
        <w:t xml:space="preserve">Qualifying consent is required to analyse DNA. This means that if consent to use </w:t>
      </w:r>
      <w:r w:rsidR="00A465C3">
        <w:rPr>
          <w:rFonts w:ascii="Arial" w:hAnsi="Arial" w:cs="Arial"/>
          <w:sz w:val="22"/>
          <w:szCs w:val="22"/>
        </w:rPr>
        <w:t>B</w:t>
      </w:r>
      <w:r w:rsidR="0051355F">
        <w:rPr>
          <w:rFonts w:ascii="Arial" w:hAnsi="Arial" w:cs="Arial"/>
          <w:sz w:val="22"/>
          <w:szCs w:val="22"/>
        </w:rPr>
        <w:t>odily</w:t>
      </w:r>
      <w:r>
        <w:rPr>
          <w:rFonts w:ascii="Arial" w:hAnsi="Arial" w:cs="Arial"/>
          <w:sz w:val="22"/>
          <w:szCs w:val="22"/>
        </w:rPr>
        <w:t xml:space="preserve"> </w:t>
      </w:r>
      <w:r w:rsidR="00A465C3">
        <w:rPr>
          <w:rFonts w:ascii="Arial" w:hAnsi="Arial" w:cs="Arial"/>
          <w:sz w:val="22"/>
          <w:szCs w:val="22"/>
        </w:rPr>
        <w:t>M</w:t>
      </w:r>
      <w:r w:rsidR="0051355F">
        <w:rPr>
          <w:rFonts w:ascii="Arial" w:hAnsi="Arial" w:cs="Arial"/>
          <w:sz w:val="22"/>
          <w:szCs w:val="22"/>
        </w:rPr>
        <w:t xml:space="preserve">aterial </w:t>
      </w:r>
      <w:r>
        <w:rPr>
          <w:rFonts w:ascii="Arial" w:hAnsi="Arial" w:cs="Arial"/>
          <w:sz w:val="22"/>
          <w:szCs w:val="22"/>
        </w:rPr>
        <w:t xml:space="preserve">has been obtained under the HT Act for a </w:t>
      </w:r>
      <w:r w:rsidR="0051355F">
        <w:rPr>
          <w:rFonts w:ascii="Arial" w:hAnsi="Arial" w:cs="Arial"/>
          <w:sz w:val="22"/>
          <w:szCs w:val="22"/>
        </w:rPr>
        <w:t>S</w:t>
      </w:r>
      <w:r>
        <w:rPr>
          <w:rFonts w:ascii="Arial" w:hAnsi="Arial" w:cs="Arial"/>
          <w:sz w:val="22"/>
          <w:szCs w:val="22"/>
        </w:rPr>
        <w:t xml:space="preserve">cheduled </w:t>
      </w:r>
      <w:r w:rsidR="00934DC1">
        <w:rPr>
          <w:rFonts w:ascii="Arial" w:hAnsi="Arial" w:cs="Arial"/>
          <w:sz w:val="22"/>
          <w:szCs w:val="22"/>
        </w:rPr>
        <w:t>P</w:t>
      </w:r>
      <w:r>
        <w:rPr>
          <w:rFonts w:ascii="Arial" w:hAnsi="Arial" w:cs="Arial"/>
          <w:sz w:val="22"/>
          <w:szCs w:val="22"/>
        </w:rPr>
        <w:t>urpose</w:t>
      </w:r>
      <w:r w:rsidR="00CD0868">
        <w:rPr>
          <w:rFonts w:ascii="Arial" w:hAnsi="Arial" w:cs="Arial"/>
          <w:sz w:val="22"/>
          <w:szCs w:val="22"/>
        </w:rPr>
        <w:t xml:space="preserve"> such as research</w:t>
      </w:r>
      <w:r>
        <w:rPr>
          <w:rFonts w:ascii="Arial" w:hAnsi="Arial" w:cs="Arial"/>
          <w:sz w:val="22"/>
          <w:szCs w:val="22"/>
        </w:rPr>
        <w:t xml:space="preserve">, it is not necessary to obtain separate consent where that use also involves DNA analysis. However, it should be made clear to the donor that their </w:t>
      </w:r>
      <w:r w:rsidR="00A3090C">
        <w:rPr>
          <w:rFonts w:ascii="Arial" w:hAnsi="Arial" w:cs="Arial"/>
          <w:sz w:val="22"/>
          <w:szCs w:val="22"/>
        </w:rPr>
        <w:t>B</w:t>
      </w:r>
      <w:r>
        <w:rPr>
          <w:rFonts w:ascii="Arial" w:hAnsi="Arial" w:cs="Arial"/>
          <w:sz w:val="22"/>
          <w:szCs w:val="22"/>
        </w:rPr>
        <w:t xml:space="preserve">odily </w:t>
      </w:r>
      <w:r w:rsidR="00A3090C">
        <w:rPr>
          <w:rFonts w:ascii="Arial" w:hAnsi="Arial" w:cs="Arial"/>
          <w:sz w:val="22"/>
          <w:szCs w:val="22"/>
        </w:rPr>
        <w:t>M</w:t>
      </w:r>
      <w:r>
        <w:rPr>
          <w:rFonts w:ascii="Arial" w:hAnsi="Arial" w:cs="Arial"/>
          <w:sz w:val="22"/>
          <w:szCs w:val="22"/>
        </w:rPr>
        <w:t xml:space="preserve">aterial may be used for this purpose, if that is the intention (adapted from the HTA </w:t>
      </w:r>
      <w:r w:rsidR="0051355F">
        <w:rPr>
          <w:rFonts w:ascii="Arial" w:hAnsi="Arial" w:cs="Arial"/>
          <w:sz w:val="22"/>
          <w:szCs w:val="22"/>
        </w:rPr>
        <w:t xml:space="preserve">Code </w:t>
      </w:r>
      <w:r>
        <w:rPr>
          <w:rFonts w:ascii="Arial" w:hAnsi="Arial" w:cs="Arial"/>
          <w:sz w:val="22"/>
          <w:szCs w:val="22"/>
        </w:rPr>
        <w:t xml:space="preserve">of </w:t>
      </w:r>
      <w:r w:rsidR="0051355F">
        <w:rPr>
          <w:rFonts w:ascii="Arial" w:hAnsi="Arial" w:cs="Arial"/>
          <w:sz w:val="22"/>
          <w:szCs w:val="22"/>
        </w:rPr>
        <w:t xml:space="preserve">Practice </w:t>
      </w:r>
      <w:r>
        <w:rPr>
          <w:rFonts w:ascii="Arial" w:hAnsi="Arial" w:cs="Arial"/>
          <w:sz w:val="22"/>
          <w:szCs w:val="22"/>
        </w:rPr>
        <w:t>on research), by, for example, including a reference to the intended DNA analysis in the consent form and participant information sheets.</w:t>
      </w:r>
    </w:p>
    <w:p w14:paraId="6B278481" w14:textId="41A87B76" w:rsidR="00E64889" w:rsidRDefault="00E64889" w:rsidP="006E45BA">
      <w:pPr>
        <w:pStyle w:val="BodyText"/>
        <w:jc w:val="both"/>
        <w:rPr>
          <w:b/>
          <w:bCs/>
          <w:sz w:val="24"/>
        </w:rPr>
      </w:pPr>
    </w:p>
    <w:p w14:paraId="779527D1" w14:textId="11780D1C" w:rsidR="002F4156" w:rsidRPr="002F4156" w:rsidRDefault="002F4156" w:rsidP="006E45BA">
      <w:pPr>
        <w:pStyle w:val="BodyText"/>
        <w:jc w:val="both"/>
        <w:rPr>
          <w:i/>
          <w:iCs/>
          <w:szCs w:val="22"/>
        </w:rPr>
      </w:pPr>
      <w:r w:rsidRPr="002F4156">
        <w:rPr>
          <w:i/>
          <w:iCs/>
          <w:szCs w:val="22"/>
        </w:rPr>
        <w:t>Import of Relevant Material</w:t>
      </w:r>
    </w:p>
    <w:p w14:paraId="0DE08ADA" w14:textId="27E1182C" w:rsidR="00415700" w:rsidRPr="00B9326A" w:rsidRDefault="00E64889">
      <w:pPr>
        <w:pStyle w:val="BodyText"/>
        <w:jc w:val="both"/>
        <w:rPr>
          <w:color w:val="333333"/>
          <w:szCs w:val="27"/>
        </w:rPr>
      </w:pPr>
      <w:r>
        <w:rPr>
          <w:szCs w:val="22"/>
        </w:rPr>
        <w:t xml:space="preserve">If you are obtaining Relevant Material from </w:t>
      </w:r>
      <w:r w:rsidRPr="003614A8">
        <w:rPr>
          <w:szCs w:val="22"/>
        </w:rPr>
        <w:t>outside England</w:t>
      </w:r>
      <w:r>
        <w:rPr>
          <w:szCs w:val="22"/>
        </w:rPr>
        <w:t xml:space="preserve">, </w:t>
      </w:r>
      <w:proofErr w:type="gramStart"/>
      <w:r>
        <w:rPr>
          <w:szCs w:val="22"/>
        </w:rPr>
        <w:t>Wales</w:t>
      </w:r>
      <w:proofErr w:type="gramEnd"/>
      <w:r>
        <w:rPr>
          <w:szCs w:val="22"/>
        </w:rPr>
        <w:t xml:space="preserve"> and Northern Ireland this is</w:t>
      </w:r>
      <w:r w:rsidRPr="003614A8">
        <w:rPr>
          <w:szCs w:val="22"/>
        </w:rPr>
        <w:t xml:space="preserve"> considered an import. Storage of imported </w:t>
      </w:r>
      <w:r w:rsidR="00823869">
        <w:rPr>
          <w:szCs w:val="22"/>
        </w:rPr>
        <w:t>Relevant Material</w:t>
      </w:r>
      <w:r w:rsidR="00823869" w:rsidRPr="003614A8">
        <w:rPr>
          <w:szCs w:val="22"/>
        </w:rPr>
        <w:t xml:space="preserve"> </w:t>
      </w:r>
      <w:r w:rsidRPr="003614A8">
        <w:rPr>
          <w:szCs w:val="22"/>
        </w:rPr>
        <w:t xml:space="preserve">for research is a licensable activity under the </w:t>
      </w:r>
      <w:r>
        <w:rPr>
          <w:szCs w:val="22"/>
        </w:rPr>
        <w:t>HT Act</w:t>
      </w:r>
      <w:r w:rsidRPr="003614A8">
        <w:rPr>
          <w:szCs w:val="22"/>
        </w:rPr>
        <w:t xml:space="preserve"> and will either need to be stored under a </w:t>
      </w:r>
      <w:r>
        <w:rPr>
          <w:szCs w:val="22"/>
        </w:rPr>
        <w:t>HTA</w:t>
      </w:r>
      <w:r w:rsidRPr="003614A8">
        <w:rPr>
          <w:szCs w:val="22"/>
        </w:rPr>
        <w:t xml:space="preserve"> licence or favourable opinion from a</w:t>
      </w:r>
      <w:r w:rsidR="00141839">
        <w:rPr>
          <w:szCs w:val="22"/>
        </w:rPr>
        <w:t>n</w:t>
      </w:r>
      <w:r w:rsidR="007333E2">
        <w:rPr>
          <w:szCs w:val="22"/>
        </w:rPr>
        <w:t xml:space="preserve"> </w:t>
      </w:r>
      <w:hyperlink r:id="rId34" w:history="1">
        <w:r w:rsidRPr="003614A8">
          <w:rPr>
            <w:szCs w:val="22"/>
          </w:rPr>
          <w:t>NHS REC</w:t>
        </w:r>
      </w:hyperlink>
      <w:r w:rsidR="007333E2">
        <w:rPr>
          <w:szCs w:val="22"/>
        </w:rPr>
        <w:t xml:space="preserve"> </w:t>
      </w:r>
      <w:r w:rsidRPr="003614A8">
        <w:rPr>
          <w:szCs w:val="22"/>
        </w:rPr>
        <w:t>(preferred option).</w:t>
      </w:r>
      <w:r w:rsidR="004B1351">
        <w:rPr>
          <w:szCs w:val="22"/>
        </w:rPr>
        <w:t xml:space="preserve"> This is the case even if the </w:t>
      </w:r>
      <w:r w:rsidR="00823869">
        <w:rPr>
          <w:szCs w:val="22"/>
        </w:rPr>
        <w:t xml:space="preserve">Relevant Material has </w:t>
      </w:r>
      <w:r w:rsidR="004B1351">
        <w:rPr>
          <w:szCs w:val="22"/>
        </w:rPr>
        <w:t>been collected with ethical approval in the country of origin.</w:t>
      </w:r>
      <w:r w:rsidRPr="003614A8">
        <w:rPr>
          <w:szCs w:val="22"/>
        </w:rPr>
        <w:t xml:space="preserve"> Imported material should be procured, used, handled, stored, </w:t>
      </w:r>
      <w:proofErr w:type="gramStart"/>
      <w:r w:rsidRPr="003614A8">
        <w:rPr>
          <w:szCs w:val="22"/>
        </w:rPr>
        <w:t>transported</w:t>
      </w:r>
      <w:proofErr w:type="gramEnd"/>
      <w:r w:rsidRPr="003614A8">
        <w:rPr>
          <w:szCs w:val="22"/>
        </w:rPr>
        <w:t xml:space="preserve"> and disposed of in accordance with the consent given by the person from whom it came.</w:t>
      </w:r>
      <w:r w:rsidR="0020367F">
        <w:rPr>
          <w:szCs w:val="22"/>
        </w:rPr>
        <w:t xml:space="preserve"> In addition, UoB</w:t>
      </w:r>
      <w:r w:rsidR="0020367F" w:rsidRPr="0020367F">
        <w:rPr>
          <w:szCs w:val="22"/>
        </w:rPr>
        <w:t xml:space="preserve"> should satisfy </w:t>
      </w:r>
      <w:r w:rsidR="0020367F">
        <w:rPr>
          <w:szCs w:val="22"/>
        </w:rPr>
        <w:t>itself</w:t>
      </w:r>
      <w:r w:rsidR="0020367F" w:rsidRPr="0020367F">
        <w:rPr>
          <w:szCs w:val="22"/>
        </w:rPr>
        <w:t xml:space="preserve">, with due assurance from the partners abroad, that any </w:t>
      </w:r>
      <w:r w:rsidR="00823869">
        <w:rPr>
          <w:szCs w:val="22"/>
        </w:rPr>
        <w:t>Relevant Material</w:t>
      </w:r>
      <w:r w:rsidR="0020367F" w:rsidRPr="0020367F">
        <w:rPr>
          <w:szCs w:val="22"/>
        </w:rPr>
        <w:t xml:space="preserve"> intended for import is sourced consistently with the legal and ethical review requirements in England, </w:t>
      </w:r>
      <w:proofErr w:type="gramStart"/>
      <w:r w:rsidR="0020367F" w:rsidRPr="0020367F">
        <w:rPr>
          <w:szCs w:val="22"/>
        </w:rPr>
        <w:t>Wales</w:t>
      </w:r>
      <w:proofErr w:type="gramEnd"/>
      <w:r w:rsidR="0020367F" w:rsidRPr="0020367F">
        <w:rPr>
          <w:szCs w:val="22"/>
        </w:rPr>
        <w:t xml:space="preserve"> and Northern Ireland. </w:t>
      </w:r>
      <w:r w:rsidR="00D86F15">
        <w:rPr>
          <w:szCs w:val="22"/>
        </w:rPr>
        <w:t xml:space="preserve">The Research and Human Tissue Manager should be contacted prior to the import taking place. </w:t>
      </w:r>
      <w:r w:rsidRPr="003614A8">
        <w:rPr>
          <w:szCs w:val="22"/>
        </w:rPr>
        <w:t xml:space="preserve"> </w:t>
      </w:r>
    </w:p>
    <w:p w14:paraId="165D1A66" w14:textId="77777777" w:rsidR="00CD617E" w:rsidRPr="00881239" w:rsidRDefault="00CD617E">
      <w:pPr>
        <w:pStyle w:val="BodyText"/>
        <w:jc w:val="both"/>
        <w:rPr>
          <w:bCs/>
        </w:rPr>
      </w:pPr>
    </w:p>
    <w:p w14:paraId="0CCA896F" w14:textId="1491963B" w:rsidR="00250400" w:rsidRPr="00250400" w:rsidRDefault="00250400" w:rsidP="00CA2514">
      <w:pPr>
        <w:pStyle w:val="BodyText"/>
        <w:numPr>
          <w:ilvl w:val="0"/>
          <w:numId w:val="35"/>
        </w:numPr>
        <w:jc w:val="both"/>
        <w:rPr>
          <w:b/>
          <w:bCs/>
          <w:sz w:val="24"/>
        </w:rPr>
      </w:pPr>
      <w:r w:rsidRPr="00250400">
        <w:rPr>
          <w:b/>
          <w:bCs/>
          <w:sz w:val="24"/>
        </w:rPr>
        <w:t>Working with healthy volunteers</w:t>
      </w:r>
      <w:r w:rsidR="00912321">
        <w:rPr>
          <w:b/>
          <w:bCs/>
          <w:sz w:val="24"/>
        </w:rPr>
        <w:t xml:space="preserve"> </w:t>
      </w:r>
      <w:r w:rsidR="00327F2A">
        <w:rPr>
          <w:b/>
          <w:bCs/>
          <w:sz w:val="24"/>
        </w:rPr>
        <w:t>(</w:t>
      </w:r>
      <w:r w:rsidR="00912321">
        <w:rPr>
          <w:b/>
          <w:bCs/>
          <w:sz w:val="24"/>
        </w:rPr>
        <w:t>including</w:t>
      </w:r>
      <w:r w:rsidR="00327F2A">
        <w:rPr>
          <w:b/>
          <w:bCs/>
          <w:sz w:val="24"/>
        </w:rPr>
        <w:t xml:space="preserve"> </w:t>
      </w:r>
      <w:r w:rsidR="00912321">
        <w:rPr>
          <w:b/>
          <w:bCs/>
          <w:sz w:val="24"/>
        </w:rPr>
        <w:t>colleagues</w:t>
      </w:r>
      <w:r w:rsidR="009F66B2">
        <w:rPr>
          <w:b/>
          <w:bCs/>
          <w:sz w:val="24"/>
        </w:rPr>
        <w:t xml:space="preserve"> or students</w:t>
      </w:r>
      <w:r w:rsidR="00327F2A">
        <w:rPr>
          <w:b/>
          <w:bCs/>
          <w:sz w:val="24"/>
        </w:rPr>
        <w:t>)</w:t>
      </w:r>
    </w:p>
    <w:p w14:paraId="51071AA6" w14:textId="77777777" w:rsidR="007318A1" w:rsidRDefault="007318A1" w:rsidP="00DB425F">
      <w:pPr>
        <w:pStyle w:val="BodyText"/>
        <w:jc w:val="both"/>
      </w:pPr>
    </w:p>
    <w:p w14:paraId="18963C68" w14:textId="01692987" w:rsidR="0092399D" w:rsidRDefault="00DB425F" w:rsidP="00DB425F">
      <w:pPr>
        <w:pStyle w:val="BodyText"/>
        <w:jc w:val="both"/>
      </w:pPr>
      <w:r>
        <w:t xml:space="preserve">If you are considering </w:t>
      </w:r>
      <w:r w:rsidR="0018409D">
        <w:t xml:space="preserve">the </w:t>
      </w:r>
      <w:r>
        <w:t xml:space="preserve">collection of Relevant Material </w:t>
      </w:r>
      <w:r w:rsidR="00D50DE6">
        <w:t>or Bodily Material from healthy volunteers</w:t>
      </w:r>
      <w:r w:rsidR="007333E2">
        <w:t xml:space="preserve"> </w:t>
      </w:r>
      <w:r>
        <w:t>(</w:t>
      </w:r>
      <w:r w:rsidR="00327F2A">
        <w:t>including</w:t>
      </w:r>
      <w:r>
        <w:t xml:space="preserve"> colleagues</w:t>
      </w:r>
      <w:r w:rsidR="00517106">
        <w:t xml:space="preserve"> or students</w:t>
      </w:r>
      <w:r>
        <w:t xml:space="preserve">), you are reminded that this research </w:t>
      </w:r>
      <w:r w:rsidR="001B0E03">
        <w:t>has the same legal and ethical</w:t>
      </w:r>
      <w:r w:rsidR="00AF37B4">
        <w:t xml:space="preserve"> standards as would be applicable to any other participant in research.</w:t>
      </w:r>
      <w:r w:rsidR="001B0E03">
        <w:t xml:space="preserve"> </w:t>
      </w:r>
      <w:r w:rsidR="00AF37B4">
        <w:t xml:space="preserve">Your research </w:t>
      </w:r>
      <w:r w:rsidR="00E11E86">
        <w:t xml:space="preserve">must </w:t>
      </w:r>
      <w:r>
        <w:t>be reviewed by an ethics committee.</w:t>
      </w:r>
      <w:r w:rsidR="007333E2">
        <w:t xml:space="preserve"> </w:t>
      </w:r>
      <w:r>
        <w:t>If the review is undertaken by a</w:t>
      </w:r>
      <w:r w:rsidR="00F760CE">
        <w:t>n</w:t>
      </w:r>
      <w:r>
        <w:t xml:space="preserve"> NHS REC</w:t>
      </w:r>
      <w:r w:rsidR="00D23FDC">
        <w:t xml:space="preserve"> </w:t>
      </w:r>
      <w:r w:rsidR="00D23FDC" w:rsidRPr="003614A8">
        <w:rPr>
          <w:szCs w:val="22"/>
        </w:rPr>
        <w:t>(preferred option)</w:t>
      </w:r>
      <w:r>
        <w:t xml:space="preserve"> your research will be exempt from licensing requirements.</w:t>
      </w:r>
      <w:r w:rsidR="007333E2">
        <w:t xml:space="preserve"> </w:t>
      </w:r>
      <w:r>
        <w:t xml:space="preserve">If the review is undertaken by a University REC </w:t>
      </w:r>
      <w:r w:rsidR="0018409D">
        <w:t xml:space="preserve">(with the agreement of the Research Governance Team) </w:t>
      </w:r>
      <w:r>
        <w:t xml:space="preserve">the Relevant Material must be stored and used on licensed premises </w:t>
      </w:r>
      <w:r w:rsidR="006F24B2">
        <w:t xml:space="preserve">in line with Part B of this code (above) </w:t>
      </w:r>
      <w:r>
        <w:t xml:space="preserve">with the explicit permission of the DI. </w:t>
      </w:r>
    </w:p>
    <w:p w14:paraId="56981D0C" w14:textId="77777777" w:rsidR="0092399D" w:rsidRDefault="0092399D" w:rsidP="00DB425F">
      <w:pPr>
        <w:pStyle w:val="BodyText"/>
        <w:jc w:val="both"/>
      </w:pPr>
    </w:p>
    <w:p w14:paraId="249F4933" w14:textId="6A7E564A" w:rsidR="00AF37B4" w:rsidRDefault="00AF37B4" w:rsidP="0060431C">
      <w:pPr>
        <w:pStyle w:val="BodyText"/>
        <w:jc w:val="both"/>
      </w:pPr>
      <w:r>
        <w:t xml:space="preserve">Valid and freely given consent must be obtained from </w:t>
      </w:r>
      <w:r w:rsidR="0060431C">
        <w:t>healthy volunteers</w:t>
      </w:r>
      <w:r>
        <w:t xml:space="preserve">. This includes giving information on what samples will be used for, the risks of discovery of </w:t>
      </w:r>
      <w:r w:rsidR="00141886">
        <w:t>health-related</w:t>
      </w:r>
      <w:r>
        <w:t xml:space="preserve"> findings and how these would be handled, how their privacy will be protected and their right to withdraw. </w:t>
      </w:r>
    </w:p>
    <w:p w14:paraId="0DC7FC54" w14:textId="77777777" w:rsidR="0060431C" w:rsidRDefault="0060431C" w:rsidP="00DB425F">
      <w:pPr>
        <w:pStyle w:val="BodyText"/>
        <w:jc w:val="both"/>
        <w:rPr>
          <w:szCs w:val="22"/>
        </w:rPr>
      </w:pPr>
    </w:p>
    <w:p w14:paraId="4C27CAFA" w14:textId="17CD345E" w:rsidR="0060431C" w:rsidRDefault="00DB425F" w:rsidP="00DB425F">
      <w:pPr>
        <w:pStyle w:val="BodyText"/>
        <w:jc w:val="both"/>
        <w:rPr>
          <w:szCs w:val="22"/>
        </w:rPr>
      </w:pPr>
      <w:r>
        <w:rPr>
          <w:szCs w:val="22"/>
        </w:rPr>
        <w:t xml:space="preserve">Further guidance is available from the </w:t>
      </w:r>
      <w:r w:rsidRPr="009340F5">
        <w:rPr>
          <w:szCs w:val="22"/>
        </w:rPr>
        <w:t xml:space="preserve">Research </w:t>
      </w:r>
      <w:r>
        <w:rPr>
          <w:szCs w:val="22"/>
        </w:rPr>
        <w:t>and</w:t>
      </w:r>
      <w:r w:rsidR="0092399D">
        <w:rPr>
          <w:szCs w:val="22"/>
        </w:rPr>
        <w:t xml:space="preserve"> </w:t>
      </w:r>
      <w:r w:rsidR="00517106">
        <w:rPr>
          <w:szCs w:val="22"/>
        </w:rPr>
        <w:t xml:space="preserve">Human </w:t>
      </w:r>
      <w:r w:rsidR="009F66B2">
        <w:rPr>
          <w:szCs w:val="22"/>
        </w:rPr>
        <w:t>Tissue</w:t>
      </w:r>
      <w:r w:rsidR="00517106">
        <w:rPr>
          <w:szCs w:val="22"/>
        </w:rPr>
        <w:t xml:space="preserve"> </w:t>
      </w:r>
      <w:r w:rsidR="0092399D">
        <w:rPr>
          <w:szCs w:val="22"/>
        </w:rPr>
        <w:t>Manager</w:t>
      </w:r>
      <w:r w:rsidR="0060431C">
        <w:rPr>
          <w:szCs w:val="22"/>
        </w:rPr>
        <w:t xml:space="preserve"> and the following resources</w:t>
      </w:r>
      <w:r w:rsidR="00327F2A">
        <w:rPr>
          <w:szCs w:val="22"/>
        </w:rPr>
        <w:t xml:space="preserve"> should be read prior to collecting Relevant Material from healthy volunteers</w:t>
      </w:r>
      <w:r w:rsidR="0060431C">
        <w:rPr>
          <w:szCs w:val="22"/>
        </w:rPr>
        <w:t>:</w:t>
      </w:r>
    </w:p>
    <w:bookmarkStart w:id="17" w:name="_Hlk100141894"/>
    <w:p w14:paraId="2DA2B5F5" w14:textId="0071DF13" w:rsidR="0060431C" w:rsidRDefault="003C044B" w:rsidP="00327F2A">
      <w:pPr>
        <w:pStyle w:val="BodyText"/>
        <w:numPr>
          <w:ilvl w:val="0"/>
          <w:numId w:val="30"/>
        </w:numPr>
        <w:jc w:val="both"/>
      </w:pPr>
      <w:r>
        <w:fldChar w:fldCharType="begin"/>
      </w:r>
      <w:r>
        <w:instrText xml:space="preserve"> HYPERLINK "https://www.ukri.org/wp-content/uploads/2021/08/MRC-0208212-Human-tissue-and-biological-samples-for-use-in-research.pdf" </w:instrText>
      </w:r>
      <w:r>
        <w:fldChar w:fldCharType="separate"/>
      </w:r>
      <w:r w:rsidR="0060431C" w:rsidRPr="003C044B">
        <w:rPr>
          <w:rStyle w:val="Hyperlink"/>
        </w:rPr>
        <w:t>MRC ethics series Human Tissue and Biological Samples for Use in Research: O</w:t>
      </w:r>
      <w:r w:rsidR="0060431C" w:rsidRPr="003C044B">
        <w:rPr>
          <w:rStyle w:val="Hyperlink"/>
        </w:rPr>
        <w:t>p</w:t>
      </w:r>
      <w:r w:rsidR="0060431C" w:rsidRPr="003C044B">
        <w:rPr>
          <w:rStyle w:val="Hyperlink"/>
        </w:rPr>
        <w:t>erational and Ethical Guidelines (201</w:t>
      </w:r>
      <w:r w:rsidR="003E57EE" w:rsidRPr="003C044B">
        <w:rPr>
          <w:rStyle w:val="Hyperlink"/>
        </w:rPr>
        <w:t>4</w:t>
      </w:r>
      <w:r w:rsidR="0060431C" w:rsidRPr="003C044B">
        <w:rPr>
          <w:rStyle w:val="Hyperlink"/>
        </w:rPr>
        <w:t>)</w:t>
      </w:r>
      <w:r>
        <w:fldChar w:fldCharType="end"/>
      </w:r>
    </w:p>
    <w:p w14:paraId="0EA0A1FF" w14:textId="0EA038E3" w:rsidR="00D23FDC" w:rsidRPr="003C044B" w:rsidRDefault="003C044B" w:rsidP="003C044B">
      <w:pPr>
        <w:pStyle w:val="BodyText"/>
        <w:numPr>
          <w:ilvl w:val="0"/>
          <w:numId w:val="30"/>
        </w:numPr>
        <w:jc w:val="both"/>
        <w:rPr>
          <w:bCs/>
        </w:rPr>
      </w:pPr>
      <w:hyperlink r:id="rId35" w:history="1">
        <w:r w:rsidR="0060431C" w:rsidRPr="003C044B">
          <w:rPr>
            <w:rStyle w:val="Hyperlink"/>
          </w:rPr>
          <w:t>MRC Regulatory Suppo</w:t>
        </w:r>
        <w:r w:rsidR="0060431C" w:rsidRPr="003C044B">
          <w:rPr>
            <w:rStyle w:val="Hyperlink"/>
          </w:rPr>
          <w:t>r</w:t>
        </w:r>
        <w:r w:rsidR="0060431C" w:rsidRPr="003C044B">
          <w:rPr>
            <w:rStyle w:val="Hyperlink"/>
          </w:rPr>
          <w:t>t Centre: Guidance for staff asked to volunteer blood and/or other samples for research</w:t>
        </w:r>
      </w:hyperlink>
      <w:r w:rsidR="0060431C">
        <w:t xml:space="preserve"> (2012)</w:t>
      </w:r>
    </w:p>
    <w:bookmarkEnd w:id="17"/>
    <w:p w14:paraId="145789D3" w14:textId="77777777" w:rsidR="00D42745" w:rsidRPr="00D42745" w:rsidRDefault="00D42745" w:rsidP="00D42745">
      <w:pPr>
        <w:pStyle w:val="BodyText"/>
        <w:ind w:left="360"/>
        <w:jc w:val="both"/>
        <w:rPr>
          <w:bCs/>
        </w:rPr>
      </w:pPr>
    </w:p>
    <w:p w14:paraId="7D4F2DE7" w14:textId="77777777" w:rsidR="00250400" w:rsidRPr="00250400" w:rsidRDefault="00250400" w:rsidP="00F92C89">
      <w:pPr>
        <w:pStyle w:val="BodyText"/>
        <w:numPr>
          <w:ilvl w:val="0"/>
          <w:numId w:val="35"/>
        </w:numPr>
        <w:jc w:val="both"/>
        <w:rPr>
          <w:b/>
          <w:bCs/>
          <w:sz w:val="24"/>
        </w:rPr>
      </w:pPr>
      <w:r w:rsidRPr="00250400">
        <w:rPr>
          <w:b/>
          <w:bCs/>
          <w:sz w:val="24"/>
        </w:rPr>
        <w:t>Procurement</w:t>
      </w:r>
      <w:r w:rsidR="00191C3B">
        <w:rPr>
          <w:b/>
          <w:bCs/>
          <w:sz w:val="24"/>
        </w:rPr>
        <w:t xml:space="preserve"> and subsequent transplant for research</w:t>
      </w:r>
    </w:p>
    <w:p w14:paraId="61A0F758" w14:textId="77777777" w:rsidR="007318A1" w:rsidRDefault="007318A1" w:rsidP="000C222A">
      <w:pPr>
        <w:pStyle w:val="BodyText"/>
        <w:jc w:val="both"/>
        <w:rPr>
          <w:bCs/>
        </w:rPr>
      </w:pPr>
    </w:p>
    <w:p w14:paraId="773DD1B1" w14:textId="7B24B742" w:rsidR="00881239" w:rsidRPr="000C222A" w:rsidRDefault="00CC6087" w:rsidP="000C222A">
      <w:pPr>
        <w:pStyle w:val="BodyText"/>
        <w:jc w:val="both"/>
        <w:rPr>
          <w:bCs/>
        </w:rPr>
      </w:pPr>
      <w:r w:rsidRPr="000C222A">
        <w:rPr>
          <w:bCs/>
        </w:rPr>
        <w:t xml:space="preserve">If your </w:t>
      </w:r>
      <w:r w:rsidR="00191C3B">
        <w:rPr>
          <w:bCs/>
        </w:rPr>
        <w:t>project</w:t>
      </w:r>
      <w:r w:rsidRPr="000C222A">
        <w:rPr>
          <w:bCs/>
        </w:rPr>
        <w:t xml:space="preserve"> involves the procurement </w:t>
      </w:r>
      <w:r w:rsidR="00191C3B" w:rsidRPr="000C222A">
        <w:rPr>
          <w:bCs/>
        </w:rPr>
        <w:t>and subsequent transplant</w:t>
      </w:r>
      <w:r w:rsidR="00191C3B">
        <w:rPr>
          <w:bCs/>
        </w:rPr>
        <w:t>ation</w:t>
      </w:r>
      <w:r w:rsidR="00191C3B" w:rsidRPr="000C222A">
        <w:rPr>
          <w:bCs/>
        </w:rPr>
        <w:t xml:space="preserve"> </w:t>
      </w:r>
      <w:r w:rsidRPr="000C222A">
        <w:rPr>
          <w:bCs/>
        </w:rPr>
        <w:t xml:space="preserve">of Relevant Material </w:t>
      </w:r>
      <w:r w:rsidR="00D42745">
        <w:rPr>
          <w:bCs/>
        </w:rPr>
        <w:t xml:space="preserve">for </w:t>
      </w:r>
      <w:r w:rsidR="00F17451">
        <w:rPr>
          <w:bCs/>
        </w:rPr>
        <w:t>research,</w:t>
      </w:r>
      <w:r w:rsidR="00191C3B">
        <w:rPr>
          <w:bCs/>
        </w:rPr>
        <w:t xml:space="preserve"> </w:t>
      </w:r>
      <w:r w:rsidRPr="000C222A">
        <w:rPr>
          <w:bCs/>
        </w:rPr>
        <w:t xml:space="preserve">then </w:t>
      </w:r>
      <w:r w:rsidR="00A66DF1">
        <w:rPr>
          <w:bCs/>
        </w:rPr>
        <w:t>you need to ensure that the NHS Trust holds an appropriate</w:t>
      </w:r>
      <w:r w:rsidR="00495CFE">
        <w:rPr>
          <w:bCs/>
        </w:rPr>
        <w:t xml:space="preserve"> </w:t>
      </w:r>
      <w:r w:rsidR="00E11E86">
        <w:rPr>
          <w:bCs/>
        </w:rPr>
        <w:t>L</w:t>
      </w:r>
      <w:r w:rsidRPr="000C222A">
        <w:rPr>
          <w:bCs/>
        </w:rPr>
        <w:t>icence</w:t>
      </w:r>
      <w:r w:rsidR="008C5419">
        <w:rPr>
          <w:bCs/>
        </w:rPr>
        <w:t xml:space="preserve">. </w:t>
      </w:r>
    </w:p>
    <w:p w14:paraId="19A274A1" w14:textId="77777777" w:rsidR="00250400" w:rsidRDefault="00250400">
      <w:pPr>
        <w:pStyle w:val="BodyText"/>
        <w:jc w:val="both"/>
        <w:rPr>
          <w:bCs/>
        </w:rPr>
      </w:pPr>
    </w:p>
    <w:p w14:paraId="08610BC0" w14:textId="77777777" w:rsidR="00250400" w:rsidRDefault="00250400" w:rsidP="00F10EEE">
      <w:pPr>
        <w:pStyle w:val="BodyText"/>
        <w:numPr>
          <w:ilvl w:val="0"/>
          <w:numId w:val="35"/>
        </w:numPr>
        <w:jc w:val="both"/>
        <w:rPr>
          <w:b/>
          <w:bCs/>
          <w:sz w:val="24"/>
        </w:rPr>
      </w:pPr>
      <w:r w:rsidRPr="00250400">
        <w:rPr>
          <w:b/>
          <w:bCs/>
          <w:sz w:val="24"/>
        </w:rPr>
        <w:t>Working with tissue from a Research Tissue Bank</w:t>
      </w:r>
    </w:p>
    <w:p w14:paraId="0E0C6E43" w14:textId="77777777" w:rsidR="00250400" w:rsidRDefault="00250400" w:rsidP="00250400">
      <w:pPr>
        <w:jc w:val="both"/>
        <w:rPr>
          <w:rFonts w:ascii="Arial" w:eastAsia="Calibri" w:hAnsi="Arial"/>
          <w:b/>
          <w:bCs/>
        </w:rPr>
      </w:pPr>
    </w:p>
    <w:p w14:paraId="0DEECBF2" w14:textId="18E3AE1F" w:rsidR="00250400" w:rsidRDefault="00250400" w:rsidP="00250400">
      <w:pPr>
        <w:jc w:val="both"/>
        <w:rPr>
          <w:rFonts w:ascii="Arial" w:hAnsi="Arial" w:cs="Arial"/>
          <w:sz w:val="22"/>
          <w:szCs w:val="22"/>
        </w:rPr>
      </w:pPr>
      <w:r>
        <w:rPr>
          <w:rFonts w:ascii="Arial" w:hAnsi="Arial" w:cs="Arial"/>
          <w:sz w:val="22"/>
          <w:szCs w:val="22"/>
        </w:rPr>
        <w:t xml:space="preserve">If you are obtaining Relevant Material from a Research Tissue Bank (“RTB”) (sometimes called a biobank) for use in your </w:t>
      </w:r>
      <w:r w:rsidR="00F17451">
        <w:rPr>
          <w:rFonts w:ascii="Arial" w:hAnsi="Arial" w:cs="Arial"/>
          <w:sz w:val="22"/>
          <w:szCs w:val="22"/>
        </w:rPr>
        <w:t>research,</w:t>
      </w:r>
      <w:r>
        <w:rPr>
          <w:rFonts w:ascii="Arial" w:hAnsi="Arial" w:cs="Arial"/>
          <w:sz w:val="22"/>
          <w:szCs w:val="22"/>
        </w:rPr>
        <w:t xml:space="preserve"> you:</w:t>
      </w:r>
    </w:p>
    <w:p w14:paraId="1D12C0F5" w14:textId="77777777" w:rsidR="00250400" w:rsidRDefault="00250400" w:rsidP="00D42745">
      <w:pPr>
        <w:pStyle w:val="ListParagraph"/>
        <w:numPr>
          <w:ilvl w:val="0"/>
          <w:numId w:val="27"/>
        </w:numPr>
        <w:jc w:val="both"/>
        <w:rPr>
          <w:rFonts w:cs="Arial"/>
          <w:sz w:val="22"/>
          <w:szCs w:val="22"/>
        </w:rPr>
      </w:pPr>
      <w:r>
        <w:rPr>
          <w:rFonts w:cs="Arial"/>
          <w:sz w:val="22"/>
          <w:szCs w:val="22"/>
        </w:rPr>
        <w:t xml:space="preserve">should check the ethical arrangements of the RTB to determine whether your study will be covered by the RTB’s ethics approval or whether you need to make your own project-specific ethics </w:t>
      </w:r>
      <w:proofErr w:type="gramStart"/>
      <w:r>
        <w:rPr>
          <w:rFonts w:cs="Arial"/>
          <w:sz w:val="22"/>
          <w:szCs w:val="22"/>
        </w:rPr>
        <w:t>application;</w:t>
      </w:r>
      <w:proofErr w:type="gramEnd"/>
    </w:p>
    <w:p w14:paraId="738139C3" w14:textId="2BFB7C42" w:rsidR="00495CFE" w:rsidRDefault="00495CFE" w:rsidP="00D42745">
      <w:pPr>
        <w:pStyle w:val="ListParagraph"/>
        <w:numPr>
          <w:ilvl w:val="0"/>
          <w:numId w:val="27"/>
        </w:numPr>
        <w:jc w:val="both"/>
        <w:rPr>
          <w:rFonts w:cs="Arial"/>
          <w:sz w:val="22"/>
          <w:szCs w:val="22"/>
        </w:rPr>
      </w:pPr>
      <w:r>
        <w:rPr>
          <w:rFonts w:cs="Arial"/>
          <w:sz w:val="22"/>
          <w:szCs w:val="22"/>
        </w:rPr>
        <w:t xml:space="preserve">should register the study with the Research Governance Team (where </w:t>
      </w:r>
      <w:r w:rsidR="00A50D3A">
        <w:rPr>
          <w:rFonts w:cs="Arial"/>
          <w:sz w:val="22"/>
          <w:szCs w:val="22"/>
        </w:rPr>
        <w:t xml:space="preserve">Relevant Material </w:t>
      </w:r>
      <w:r w:rsidR="00175341">
        <w:rPr>
          <w:rFonts w:cs="Arial"/>
          <w:sz w:val="22"/>
          <w:szCs w:val="22"/>
        </w:rPr>
        <w:t>is</w:t>
      </w:r>
      <w:r>
        <w:rPr>
          <w:rFonts w:cs="Arial"/>
          <w:sz w:val="22"/>
          <w:szCs w:val="22"/>
        </w:rPr>
        <w:t xml:space="preserve"> obtained from </w:t>
      </w:r>
      <w:r w:rsidR="003F270F">
        <w:rPr>
          <w:rFonts w:cs="Arial"/>
          <w:sz w:val="22"/>
          <w:szCs w:val="22"/>
        </w:rPr>
        <w:t>an</w:t>
      </w:r>
      <w:r>
        <w:rPr>
          <w:rFonts w:cs="Arial"/>
          <w:sz w:val="22"/>
          <w:szCs w:val="22"/>
        </w:rPr>
        <w:t xml:space="preserve"> RTB external to UoB</w:t>
      </w:r>
      <w:proofErr w:type="gramStart"/>
      <w:r>
        <w:rPr>
          <w:rFonts w:cs="Arial"/>
          <w:sz w:val="22"/>
          <w:szCs w:val="22"/>
        </w:rPr>
        <w:t>);</w:t>
      </w:r>
      <w:proofErr w:type="gramEnd"/>
    </w:p>
    <w:p w14:paraId="3F91E7F9" w14:textId="69DABC7A" w:rsidR="00495CFE" w:rsidRDefault="00250400" w:rsidP="00D42745">
      <w:pPr>
        <w:pStyle w:val="ListParagraph"/>
        <w:numPr>
          <w:ilvl w:val="0"/>
          <w:numId w:val="27"/>
        </w:numPr>
        <w:jc w:val="both"/>
        <w:rPr>
          <w:rFonts w:cs="Arial"/>
          <w:sz w:val="22"/>
          <w:szCs w:val="22"/>
        </w:rPr>
      </w:pPr>
      <w:r w:rsidRPr="002136C3">
        <w:rPr>
          <w:rFonts w:cs="Arial"/>
          <w:sz w:val="22"/>
          <w:szCs w:val="22"/>
        </w:rPr>
        <w:t>must ensure that any terms and conditions are reviewed by the</w:t>
      </w:r>
      <w:r w:rsidR="00806100">
        <w:rPr>
          <w:rFonts w:cs="Arial"/>
          <w:sz w:val="22"/>
          <w:szCs w:val="22"/>
        </w:rPr>
        <w:t xml:space="preserve"> Research</w:t>
      </w:r>
      <w:r w:rsidRPr="002136C3">
        <w:rPr>
          <w:rFonts w:cs="Arial"/>
          <w:sz w:val="22"/>
          <w:szCs w:val="22"/>
        </w:rPr>
        <w:t xml:space="preserve"> Contracts team in RED </w:t>
      </w:r>
      <w:r w:rsidR="00495CFE">
        <w:rPr>
          <w:rFonts w:cs="Arial"/>
          <w:sz w:val="22"/>
          <w:szCs w:val="22"/>
        </w:rPr>
        <w:t>and</w:t>
      </w:r>
      <w:r>
        <w:rPr>
          <w:rFonts w:cs="Arial"/>
          <w:sz w:val="22"/>
          <w:szCs w:val="22"/>
        </w:rPr>
        <w:t xml:space="preserve"> any agreements/contracts with the RTB</w:t>
      </w:r>
      <w:r w:rsidR="00495CFE">
        <w:rPr>
          <w:rFonts w:cs="Arial"/>
          <w:sz w:val="22"/>
          <w:szCs w:val="22"/>
        </w:rPr>
        <w:t xml:space="preserve"> are signed by an authorised signatory</w:t>
      </w:r>
      <w:r w:rsidR="00F86F97">
        <w:rPr>
          <w:rFonts w:cs="Arial"/>
          <w:sz w:val="22"/>
          <w:szCs w:val="22"/>
        </w:rPr>
        <w:t xml:space="preserve"> (where </w:t>
      </w:r>
      <w:r w:rsidR="00A50D3A">
        <w:rPr>
          <w:rFonts w:cs="Arial"/>
          <w:sz w:val="22"/>
          <w:szCs w:val="22"/>
        </w:rPr>
        <w:t xml:space="preserve">Relevant Material </w:t>
      </w:r>
      <w:r w:rsidR="00F86F97">
        <w:rPr>
          <w:rFonts w:cs="Arial"/>
          <w:sz w:val="22"/>
          <w:szCs w:val="22"/>
        </w:rPr>
        <w:t>is obtained from an RTB external to UoB</w:t>
      </w:r>
      <w:proofErr w:type="gramStart"/>
      <w:r w:rsidR="00F86F97">
        <w:rPr>
          <w:rFonts w:cs="Arial"/>
          <w:sz w:val="22"/>
          <w:szCs w:val="22"/>
        </w:rPr>
        <w:t>)</w:t>
      </w:r>
      <w:r w:rsidR="00495CFE">
        <w:rPr>
          <w:rFonts w:cs="Arial"/>
          <w:sz w:val="22"/>
          <w:szCs w:val="22"/>
        </w:rPr>
        <w:t>;</w:t>
      </w:r>
      <w:proofErr w:type="gramEnd"/>
    </w:p>
    <w:p w14:paraId="5B7D184B" w14:textId="28E83077" w:rsidR="00250400" w:rsidRPr="002136C3" w:rsidRDefault="00495CFE" w:rsidP="00D42745">
      <w:pPr>
        <w:pStyle w:val="ListParagraph"/>
        <w:numPr>
          <w:ilvl w:val="0"/>
          <w:numId w:val="27"/>
        </w:numPr>
        <w:jc w:val="both"/>
        <w:rPr>
          <w:rFonts w:cs="Arial"/>
          <w:sz w:val="22"/>
          <w:szCs w:val="22"/>
        </w:rPr>
      </w:pPr>
      <w:r>
        <w:rPr>
          <w:rFonts w:cs="Arial"/>
          <w:sz w:val="22"/>
          <w:szCs w:val="22"/>
        </w:rPr>
        <w:t>should be aware of</w:t>
      </w:r>
      <w:r w:rsidR="00175341">
        <w:rPr>
          <w:rFonts w:cs="Arial"/>
          <w:sz w:val="22"/>
          <w:szCs w:val="22"/>
        </w:rPr>
        <w:t xml:space="preserve"> your</w:t>
      </w:r>
      <w:r>
        <w:rPr>
          <w:rFonts w:cs="Arial"/>
          <w:sz w:val="22"/>
          <w:szCs w:val="22"/>
        </w:rPr>
        <w:t xml:space="preserve"> obligations </w:t>
      </w:r>
      <w:r w:rsidR="00E704C4">
        <w:rPr>
          <w:rFonts w:cs="Arial"/>
          <w:sz w:val="22"/>
          <w:szCs w:val="22"/>
        </w:rPr>
        <w:t>on completion of the research using Relevant Material</w:t>
      </w:r>
      <w:r w:rsidR="00175341">
        <w:rPr>
          <w:rFonts w:cs="Arial"/>
          <w:sz w:val="22"/>
          <w:szCs w:val="22"/>
        </w:rPr>
        <w:t xml:space="preserve"> from </w:t>
      </w:r>
      <w:r w:rsidR="003F270F">
        <w:rPr>
          <w:rFonts w:cs="Arial"/>
          <w:sz w:val="22"/>
          <w:szCs w:val="22"/>
        </w:rPr>
        <w:t>an</w:t>
      </w:r>
      <w:r w:rsidR="00175341">
        <w:rPr>
          <w:rFonts w:cs="Arial"/>
          <w:sz w:val="22"/>
          <w:szCs w:val="22"/>
        </w:rPr>
        <w:t xml:space="preserve"> RTB</w:t>
      </w:r>
      <w:r w:rsidR="00250400" w:rsidRPr="002136C3">
        <w:rPr>
          <w:rFonts w:cs="Arial"/>
          <w:sz w:val="22"/>
          <w:szCs w:val="22"/>
        </w:rPr>
        <w:t>.</w:t>
      </w:r>
    </w:p>
    <w:p w14:paraId="016EF0B3" w14:textId="77777777" w:rsidR="00250400" w:rsidRPr="00892476" w:rsidRDefault="00250400" w:rsidP="00733325">
      <w:pPr>
        <w:pStyle w:val="BodyText"/>
        <w:numPr>
          <w:ilvl w:val="0"/>
          <w:numId w:val="35"/>
        </w:numPr>
        <w:jc w:val="both"/>
        <w:rPr>
          <w:b/>
          <w:bCs/>
          <w:sz w:val="24"/>
        </w:rPr>
      </w:pPr>
      <w:r w:rsidRPr="00892476">
        <w:rPr>
          <w:b/>
          <w:bCs/>
          <w:sz w:val="24"/>
        </w:rPr>
        <w:t>Setting up a Research Tissue Bank</w:t>
      </w:r>
    </w:p>
    <w:p w14:paraId="1814C2B8" w14:textId="77777777" w:rsidR="00250400" w:rsidRPr="001E6D33" w:rsidRDefault="00250400" w:rsidP="00250400">
      <w:pPr>
        <w:pStyle w:val="BodyText"/>
        <w:ind w:left="720"/>
        <w:jc w:val="both"/>
        <w:rPr>
          <w:b/>
          <w:bCs/>
          <w:sz w:val="24"/>
          <w:highlight w:val="yellow"/>
        </w:rPr>
      </w:pPr>
    </w:p>
    <w:p w14:paraId="47460936" w14:textId="4EA005C2" w:rsidR="00AB3F37" w:rsidRDefault="003C044B" w:rsidP="00250400">
      <w:pPr>
        <w:jc w:val="both"/>
        <w:rPr>
          <w:rFonts w:ascii="Arial" w:hAnsi="Arial" w:cs="Arial"/>
          <w:sz w:val="22"/>
          <w:szCs w:val="22"/>
          <w:highlight w:val="yellow"/>
        </w:rPr>
      </w:pPr>
      <w:r w:rsidRPr="003C044B">
        <w:rPr>
          <w:rFonts w:ascii="Arial" w:hAnsi="Arial" w:cs="Arial"/>
          <w:sz w:val="22"/>
          <w:szCs w:val="22"/>
        </w:rPr>
        <w:t xml:space="preserve">Setting up a new research tissue bank can have considerable resource implications for the </w:t>
      </w:r>
      <w:r w:rsidR="00A50D3A" w:rsidRPr="003841B1">
        <w:rPr>
          <w:rFonts w:ascii="Arial" w:hAnsi="Arial" w:cs="Arial"/>
          <w:sz w:val="22"/>
          <w:szCs w:val="22"/>
        </w:rPr>
        <w:t>Principal Investigator</w:t>
      </w:r>
      <w:r w:rsidR="00A50D3A" w:rsidRPr="003C044B">
        <w:rPr>
          <w:rFonts w:ascii="Arial" w:hAnsi="Arial" w:cs="Arial"/>
          <w:sz w:val="22"/>
          <w:szCs w:val="22"/>
        </w:rPr>
        <w:t xml:space="preserve"> </w:t>
      </w:r>
      <w:r w:rsidRPr="003C044B">
        <w:rPr>
          <w:rFonts w:ascii="Arial" w:hAnsi="Arial" w:cs="Arial"/>
          <w:sz w:val="22"/>
          <w:szCs w:val="22"/>
        </w:rPr>
        <w:t>and the HTA licence it runs under. Therefore</w:t>
      </w:r>
      <w:r>
        <w:rPr>
          <w:rFonts w:ascii="Arial" w:hAnsi="Arial" w:cs="Arial"/>
          <w:sz w:val="22"/>
          <w:szCs w:val="22"/>
        </w:rPr>
        <w:t>,</w:t>
      </w:r>
      <w:r w:rsidRPr="003C044B">
        <w:rPr>
          <w:rFonts w:ascii="Arial" w:hAnsi="Arial" w:cs="Arial"/>
          <w:sz w:val="22"/>
          <w:szCs w:val="22"/>
        </w:rPr>
        <w:t xml:space="preserve"> funding </w:t>
      </w:r>
      <w:r w:rsidR="00E872BB">
        <w:rPr>
          <w:rFonts w:ascii="Arial" w:hAnsi="Arial" w:cs="Arial"/>
          <w:sz w:val="22"/>
          <w:szCs w:val="22"/>
        </w:rPr>
        <w:t>for</w:t>
      </w:r>
      <w:r w:rsidRPr="003C044B">
        <w:rPr>
          <w:rFonts w:ascii="Arial" w:hAnsi="Arial" w:cs="Arial"/>
          <w:sz w:val="22"/>
          <w:szCs w:val="22"/>
        </w:rPr>
        <w:t xml:space="preserve"> the set up and the plans to ensure the bank will remain sustainable in the future will be considered when ascertaining if this is a suitable option.</w:t>
      </w:r>
      <w:r w:rsidRPr="003C044B">
        <w:rPr>
          <w:rFonts w:ascii="Arial" w:hAnsi="Arial" w:cs="Arial"/>
          <w:sz w:val="22"/>
          <w:szCs w:val="22"/>
          <w:highlight w:val="yellow"/>
        </w:rPr>
        <w:t xml:space="preserve"> </w:t>
      </w:r>
    </w:p>
    <w:p w14:paraId="5786A934" w14:textId="77777777" w:rsidR="00AB3F37" w:rsidRDefault="00AB3F37" w:rsidP="00250400">
      <w:pPr>
        <w:jc w:val="both"/>
        <w:rPr>
          <w:rFonts w:ascii="Arial" w:hAnsi="Arial" w:cs="Arial"/>
          <w:sz w:val="22"/>
          <w:szCs w:val="22"/>
          <w:highlight w:val="yellow"/>
        </w:rPr>
      </w:pPr>
    </w:p>
    <w:p w14:paraId="6410146A" w14:textId="77777777" w:rsidR="00AB3F37" w:rsidRPr="00AB3F37" w:rsidRDefault="00AB3F37" w:rsidP="00250400">
      <w:pPr>
        <w:jc w:val="both"/>
        <w:rPr>
          <w:rFonts w:ascii="Arial" w:hAnsi="Arial" w:cs="Arial"/>
          <w:sz w:val="22"/>
          <w:szCs w:val="22"/>
        </w:rPr>
      </w:pPr>
      <w:r w:rsidRPr="00AB3F37">
        <w:rPr>
          <w:rFonts w:ascii="Arial" w:hAnsi="Arial" w:cs="Arial"/>
          <w:sz w:val="22"/>
          <w:szCs w:val="22"/>
        </w:rPr>
        <w:t xml:space="preserve">If you would like to explore the possibility of setting up an RTB you should contact the Research and Human Tissue Manager as early as possible. </w:t>
      </w:r>
    </w:p>
    <w:p w14:paraId="7AFFFD3A" w14:textId="29ECC41F" w:rsidR="009F66B2" w:rsidRPr="001E6D33" w:rsidRDefault="009F66B2" w:rsidP="00AA38DE">
      <w:pPr>
        <w:jc w:val="both"/>
        <w:rPr>
          <w:rFonts w:ascii="Arial" w:hAnsi="Arial" w:cs="Arial"/>
          <w:sz w:val="22"/>
          <w:szCs w:val="22"/>
          <w:highlight w:val="yellow"/>
        </w:rPr>
      </w:pPr>
    </w:p>
    <w:p w14:paraId="6BF8A554" w14:textId="77777777" w:rsidR="00250400" w:rsidRDefault="00250400">
      <w:pPr>
        <w:pStyle w:val="BodyText"/>
        <w:jc w:val="both"/>
        <w:rPr>
          <w:bCs/>
        </w:rPr>
      </w:pPr>
    </w:p>
    <w:p w14:paraId="3CEB7882" w14:textId="77777777" w:rsidR="00250400" w:rsidRDefault="00250400" w:rsidP="00374B9D">
      <w:pPr>
        <w:pStyle w:val="BodyText"/>
        <w:numPr>
          <w:ilvl w:val="0"/>
          <w:numId w:val="35"/>
        </w:numPr>
        <w:jc w:val="both"/>
        <w:rPr>
          <w:b/>
          <w:bCs/>
          <w:sz w:val="24"/>
        </w:rPr>
      </w:pPr>
      <w:r w:rsidRPr="00250400">
        <w:rPr>
          <w:b/>
          <w:bCs/>
          <w:sz w:val="24"/>
        </w:rPr>
        <w:t>End of study</w:t>
      </w:r>
      <w:r w:rsidR="00006D73">
        <w:rPr>
          <w:b/>
          <w:bCs/>
          <w:sz w:val="24"/>
        </w:rPr>
        <w:t xml:space="preserve"> and sample management</w:t>
      </w:r>
    </w:p>
    <w:p w14:paraId="307AE9C5" w14:textId="77777777" w:rsidR="00250400" w:rsidRDefault="00250400" w:rsidP="00250400">
      <w:pPr>
        <w:pStyle w:val="BodyText"/>
        <w:ind w:left="360"/>
        <w:jc w:val="both"/>
        <w:rPr>
          <w:b/>
          <w:bCs/>
          <w:sz w:val="24"/>
        </w:rPr>
      </w:pPr>
    </w:p>
    <w:p w14:paraId="7666FC89" w14:textId="43BA2927" w:rsidR="00250400" w:rsidRPr="00A47C2E" w:rsidRDefault="00250400" w:rsidP="00250400">
      <w:pPr>
        <w:pStyle w:val="BodyText"/>
        <w:jc w:val="both"/>
        <w:rPr>
          <w:bCs/>
        </w:rPr>
      </w:pPr>
      <w:r>
        <w:rPr>
          <w:bCs/>
        </w:rPr>
        <w:t xml:space="preserve">If a study is </w:t>
      </w:r>
      <w:r>
        <w:rPr>
          <w:szCs w:val="22"/>
        </w:rPr>
        <w:t>carried out with a favourable opinion from a</w:t>
      </w:r>
      <w:r w:rsidR="00F80216">
        <w:rPr>
          <w:szCs w:val="22"/>
        </w:rPr>
        <w:t>n</w:t>
      </w:r>
      <w:r>
        <w:rPr>
          <w:szCs w:val="22"/>
        </w:rPr>
        <w:t xml:space="preserve"> NHS REC researchers have the following options </w:t>
      </w:r>
      <w:r>
        <w:rPr>
          <w:bCs/>
        </w:rPr>
        <w:t>at the time when the ethical approval nears the date of expiry:</w:t>
      </w:r>
    </w:p>
    <w:p w14:paraId="67F30908" w14:textId="6A67CD98" w:rsidR="00250400" w:rsidRDefault="00250400" w:rsidP="00B91F8A">
      <w:pPr>
        <w:pStyle w:val="BodyText"/>
        <w:numPr>
          <w:ilvl w:val="0"/>
          <w:numId w:val="39"/>
        </w:numPr>
        <w:jc w:val="both"/>
        <w:rPr>
          <w:bCs/>
        </w:rPr>
      </w:pPr>
      <w:r w:rsidRPr="00A47C2E">
        <w:rPr>
          <w:bCs/>
        </w:rPr>
        <w:t xml:space="preserve">If the project requires more time for completion the </w:t>
      </w:r>
      <w:r>
        <w:rPr>
          <w:bCs/>
        </w:rPr>
        <w:t xml:space="preserve">NHS REC and Research Governance Team </w:t>
      </w:r>
      <w:r w:rsidRPr="00A47C2E">
        <w:rPr>
          <w:bCs/>
        </w:rPr>
        <w:t>should be notified of the intention to extend the duration of</w:t>
      </w:r>
      <w:r>
        <w:rPr>
          <w:bCs/>
        </w:rPr>
        <w:t xml:space="preserve"> </w:t>
      </w:r>
      <w:r w:rsidRPr="00A47C2E">
        <w:rPr>
          <w:bCs/>
        </w:rPr>
        <w:t>the ethical approval</w:t>
      </w:r>
      <w:r w:rsidR="00021901">
        <w:rPr>
          <w:bCs/>
        </w:rPr>
        <w:t xml:space="preserve"> by completion of the HRA amendment tool</w:t>
      </w:r>
      <w:r w:rsidRPr="00A47C2E">
        <w:rPr>
          <w:bCs/>
        </w:rPr>
        <w:t>.</w:t>
      </w:r>
    </w:p>
    <w:p w14:paraId="71AE5C15" w14:textId="218E995C" w:rsidR="00250400" w:rsidRDefault="00250400" w:rsidP="00B91F8A">
      <w:pPr>
        <w:pStyle w:val="BodyText"/>
        <w:numPr>
          <w:ilvl w:val="0"/>
          <w:numId w:val="39"/>
        </w:numPr>
        <w:jc w:val="both"/>
        <w:rPr>
          <w:bCs/>
        </w:rPr>
      </w:pPr>
      <w:r w:rsidRPr="00A47C2E">
        <w:rPr>
          <w:bCs/>
        </w:rPr>
        <w:t xml:space="preserve">If a new study idea has been generated using the same </w:t>
      </w:r>
      <w:r>
        <w:rPr>
          <w:bCs/>
        </w:rPr>
        <w:t>Relevant Material</w:t>
      </w:r>
      <w:r w:rsidRPr="00A47C2E">
        <w:rPr>
          <w:bCs/>
        </w:rPr>
        <w:t>, a new ethics application should be submitted prior to expiry of the current study.</w:t>
      </w:r>
      <w:r w:rsidR="00B8037D">
        <w:rPr>
          <w:bCs/>
        </w:rPr>
        <w:t xml:space="preserve"> You need to check that consent is in place for future use</w:t>
      </w:r>
      <w:r w:rsidR="00EE679A">
        <w:rPr>
          <w:bCs/>
        </w:rPr>
        <w:t xml:space="preserve"> of the </w:t>
      </w:r>
      <w:r w:rsidR="00740EA5">
        <w:rPr>
          <w:bCs/>
        </w:rPr>
        <w:t>Relevant</w:t>
      </w:r>
      <w:r w:rsidR="00EE679A">
        <w:rPr>
          <w:bCs/>
        </w:rPr>
        <w:t xml:space="preserve"> Material</w:t>
      </w:r>
      <w:r w:rsidR="00B8037D">
        <w:rPr>
          <w:bCs/>
        </w:rPr>
        <w:t>.</w:t>
      </w:r>
    </w:p>
    <w:p w14:paraId="490F8C36" w14:textId="7B337162" w:rsidR="00250400" w:rsidRPr="00067DC9" w:rsidRDefault="00250400" w:rsidP="00740EA5">
      <w:pPr>
        <w:pStyle w:val="BodyText"/>
        <w:numPr>
          <w:ilvl w:val="0"/>
          <w:numId w:val="39"/>
        </w:numPr>
        <w:jc w:val="both"/>
        <w:rPr>
          <w:bCs/>
        </w:rPr>
      </w:pPr>
      <w:r w:rsidRPr="00A47C2E">
        <w:rPr>
          <w:bCs/>
        </w:rPr>
        <w:t xml:space="preserve">If the </w:t>
      </w:r>
      <w:r w:rsidRPr="000D5EB0">
        <w:rPr>
          <w:bCs/>
        </w:rPr>
        <w:t>Relevant Material has no further use it should be dispo</w:t>
      </w:r>
      <w:r w:rsidRPr="00181EB7">
        <w:rPr>
          <w:bCs/>
        </w:rPr>
        <w:t xml:space="preserve">sed of in accordance with the details given in the </w:t>
      </w:r>
      <w:r w:rsidRPr="00325A4C">
        <w:rPr>
          <w:bCs/>
        </w:rPr>
        <w:t xml:space="preserve">ethics application </w:t>
      </w:r>
      <w:r w:rsidRPr="001133F1">
        <w:rPr>
          <w:bCs/>
        </w:rPr>
        <w:t xml:space="preserve">form, the HT </w:t>
      </w:r>
      <w:r w:rsidRPr="00067DC9">
        <w:rPr>
          <w:bCs/>
        </w:rPr>
        <w:t xml:space="preserve">Act and </w:t>
      </w:r>
      <w:hyperlink r:id="rId36" w:history="1">
        <w:r w:rsidRPr="008F5F6F">
          <w:rPr>
            <w:rStyle w:val="Hyperlink"/>
            <w:bCs/>
          </w:rPr>
          <w:t>University Disposal Policy for Relevant Material</w:t>
        </w:r>
      </w:hyperlink>
      <w:r w:rsidRPr="00067DC9">
        <w:rPr>
          <w:bCs/>
        </w:rPr>
        <w:t>.</w:t>
      </w:r>
      <w:r w:rsidR="009B76C8">
        <w:rPr>
          <w:bCs/>
        </w:rPr>
        <w:t xml:space="preserve"> </w:t>
      </w:r>
    </w:p>
    <w:p w14:paraId="7482D3BF" w14:textId="5D0184FA" w:rsidR="00250400" w:rsidRPr="00892476" w:rsidRDefault="00250400" w:rsidP="00B91F8A">
      <w:pPr>
        <w:pStyle w:val="BodyText"/>
        <w:numPr>
          <w:ilvl w:val="0"/>
          <w:numId w:val="39"/>
        </w:numPr>
        <w:rPr>
          <w:bCs/>
        </w:rPr>
      </w:pPr>
      <w:r w:rsidRPr="00892476">
        <w:rPr>
          <w:bCs/>
        </w:rPr>
        <w:t xml:space="preserve">If none of the above are possible options and the Relevant Material is felt to be </w:t>
      </w:r>
      <w:r w:rsidR="0080791B" w:rsidRPr="00892476">
        <w:rPr>
          <w:bCs/>
        </w:rPr>
        <w:t>valuable,</w:t>
      </w:r>
      <w:r w:rsidRPr="00892476">
        <w:rPr>
          <w:bCs/>
        </w:rPr>
        <w:t xml:space="preserve"> please contact the Research and </w:t>
      </w:r>
      <w:r w:rsidR="0051355F" w:rsidRPr="00892476">
        <w:rPr>
          <w:bCs/>
        </w:rPr>
        <w:t xml:space="preserve">Human Tissue </w:t>
      </w:r>
      <w:r w:rsidR="0092399D" w:rsidRPr="00892476">
        <w:rPr>
          <w:bCs/>
        </w:rPr>
        <w:t>Manager</w:t>
      </w:r>
      <w:r w:rsidRPr="00892476" w:rsidDel="00CE600D">
        <w:rPr>
          <w:bCs/>
        </w:rPr>
        <w:t xml:space="preserve"> </w:t>
      </w:r>
      <w:r w:rsidRPr="00892476">
        <w:rPr>
          <w:bCs/>
        </w:rPr>
        <w:t xml:space="preserve">who will assess the feasibility of </w:t>
      </w:r>
      <w:r w:rsidR="00B8037D" w:rsidRPr="00892476">
        <w:rPr>
          <w:bCs/>
        </w:rPr>
        <w:t>depositing it in a</w:t>
      </w:r>
      <w:r w:rsidR="000F48C3" w:rsidRPr="00892476">
        <w:rPr>
          <w:bCs/>
        </w:rPr>
        <w:t>n</w:t>
      </w:r>
      <w:r w:rsidR="00B8037D" w:rsidRPr="00892476">
        <w:rPr>
          <w:bCs/>
        </w:rPr>
        <w:t xml:space="preserve"> RTB or </w:t>
      </w:r>
      <w:r w:rsidRPr="00892476">
        <w:rPr>
          <w:bCs/>
        </w:rPr>
        <w:t xml:space="preserve">storing </w:t>
      </w:r>
      <w:r w:rsidR="000F48C3" w:rsidRPr="00892476">
        <w:rPr>
          <w:bCs/>
        </w:rPr>
        <w:t xml:space="preserve">it </w:t>
      </w:r>
      <w:r w:rsidRPr="00892476">
        <w:rPr>
          <w:bCs/>
        </w:rPr>
        <w:t>under a</w:t>
      </w:r>
      <w:r w:rsidR="000F48C3" w:rsidRPr="00892476">
        <w:rPr>
          <w:bCs/>
        </w:rPr>
        <w:t>n</w:t>
      </w:r>
      <w:r w:rsidRPr="00892476">
        <w:rPr>
          <w:bCs/>
        </w:rPr>
        <w:t xml:space="preserve"> HTA licence. </w:t>
      </w:r>
      <w:proofErr w:type="gramStart"/>
      <w:r w:rsidR="00D026E9" w:rsidRPr="00892476">
        <w:rPr>
          <w:bCs/>
        </w:rPr>
        <w:t>A number of</w:t>
      </w:r>
      <w:proofErr w:type="gramEnd"/>
      <w:r w:rsidR="00D026E9" w:rsidRPr="00892476">
        <w:rPr>
          <w:bCs/>
        </w:rPr>
        <w:t xml:space="preserve"> checks will be undertaken to determine the suitability of each option.</w:t>
      </w:r>
      <w:r w:rsidR="00823869" w:rsidRPr="00892476">
        <w:rPr>
          <w:bCs/>
        </w:rPr>
        <w:t xml:space="preserve"> </w:t>
      </w:r>
      <w:r w:rsidR="00BD5399" w:rsidRPr="00892476">
        <w:rPr>
          <w:bCs/>
        </w:rPr>
        <w:t>There</w:t>
      </w:r>
      <w:r w:rsidR="000E1A7D" w:rsidRPr="00892476">
        <w:rPr>
          <w:bCs/>
        </w:rPr>
        <w:t xml:space="preserve"> is </w:t>
      </w:r>
      <w:r w:rsidR="00B8037D" w:rsidRPr="00892476">
        <w:rPr>
          <w:bCs/>
        </w:rPr>
        <w:t>usually an application process for depositing samples into a</w:t>
      </w:r>
      <w:r w:rsidR="00C00B89" w:rsidRPr="00892476">
        <w:rPr>
          <w:bCs/>
        </w:rPr>
        <w:t>n</w:t>
      </w:r>
      <w:r w:rsidR="00B8037D" w:rsidRPr="00892476">
        <w:rPr>
          <w:bCs/>
        </w:rPr>
        <w:t xml:space="preserve"> RTB and </w:t>
      </w:r>
      <w:r w:rsidR="000F48C3" w:rsidRPr="00892476">
        <w:rPr>
          <w:bCs/>
        </w:rPr>
        <w:t xml:space="preserve">there is </w:t>
      </w:r>
      <w:r w:rsidR="000E1A7D" w:rsidRPr="00892476">
        <w:rPr>
          <w:bCs/>
        </w:rPr>
        <w:t xml:space="preserve">a formal audit process for moving samples onto </w:t>
      </w:r>
      <w:r w:rsidR="00E11E86" w:rsidRPr="00892476">
        <w:rPr>
          <w:bCs/>
        </w:rPr>
        <w:t>L</w:t>
      </w:r>
      <w:r w:rsidR="000E1A7D" w:rsidRPr="00892476">
        <w:rPr>
          <w:bCs/>
        </w:rPr>
        <w:t xml:space="preserve">icence. </w:t>
      </w:r>
    </w:p>
    <w:p w14:paraId="5A024850" w14:textId="77777777" w:rsidR="00250400" w:rsidRPr="001A1D29" w:rsidRDefault="00250400" w:rsidP="00250400">
      <w:pPr>
        <w:pStyle w:val="BodyText"/>
        <w:ind w:left="360"/>
        <w:jc w:val="both"/>
        <w:rPr>
          <w:b/>
          <w:bCs/>
          <w:szCs w:val="22"/>
        </w:rPr>
      </w:pPr>
    </w:p>
    <w:p w14:paraId="249CFDB4" w14:textId="22597255" w:rsidR="00250400" w:rsidRPr="001A1D29" w:rsidRDefault="008F340C" w:rsidP="00E4157A">
      <w:pPr>
        <w:pStyle w:val="BodyText"/>
        <w:jc w:val="both"/>
        <w:rPr>
          <w:bCs/>
          <w:szCs w:val="22"/>
        </w:rPr>
      </w:pPr>
      <w:r w:rsidRPr="009B76C8">
        <w:rPr>
          <w:bCs/>
          <w:szCs w:val="22"/>
        </w:rPr>
        <w:lastRenderedPageBreak/>
        <w:t>If</w:t>
      </w:r>
      <w:r w:rsidR="00181EB7" w:rsidRPr="009B76C8">
        <w:rPr>
          <w:bCs/>
          <w:szCs w:val="22"/>
        </w:rPr>
        <w:t xml:space="preserve"> there is an intention to store</w:t>
      </w:r>
      <w:r w:rsidRPr="009B76C8">
        <w:rPr>
          <w:bCs/>
          <w:szCs w:val="22"/>
        </w:rPr>
        <w:t xml:space="preserve"> samples beyond the life of </w:t>
      </w:r>
      <w:r w:rsidR="00181EB7" w:rsidRPr="009B76C8">
        <w:rPr>
          <w:bCs/>
          <w:szCs w:val="22"/>
        </w:rPr>
        <w:t>a</w:t>
      </w:r>
      <w:r w:rsidRPr="009B76C8">
        <w:rPr>
          <w:bCs/>
          <w:szCs w:val="22"/>
        </w:rPr>
        <w:t xml:space="preserve"> study the</w:t>
      </w:r>
      <w:r w:rsidR="00D026E9">
        <w:rPr>
          <w:bCs/>
          <w:szCs w:val="22"/>
        </w:rPr>
        <w:t>n</w:t>
      </w:r>
      <w:r w:rsidR="00AA38DE">
        <w:rPr>
          <w:bCs/>
          <w:szCs w:val="22"/>
        </w:rPr>
        <w:t xml:space="preserve"> </w:t>
      </w:r>
      <w:r w:rsidRPr="009B76C8">
        <w:rPr>
          <w:bCs/>
          <w:szCs w:val="22"/>
        </w:rPr>
        <w:t>g</w:t>
      </w:r>
      <w:r w:rsidR="001B0E03" w:rsidRPr="009B76C8">
        <w:rPr>
          <w:bCs/>
          <w:szCs w:val="22"/>
        </w:rPr>
        <w:t>ood prac</w:t>
      </w:r>
      <w:r w:rsidRPr="009B76C8">
        <w:rPr>
          <w:bCs/>
          <w:szCs w:val="22"/>
        </w:rPr>
        <w:t>tice</w:t>
      </w:r>
      <w:r w:rsidR="001E6D33">
        <w:rPr>
          <w:bCs/>
          <w:szCs w:val="22"/>
        </w:rPr>
        <w:t xml:space="preserve"> biobanking</w:t>
      </w:r>
      <w:r w:rsidRPr="009B76C8">
        <w:rPr>
          <w:bCs/>
          <w:szCs w:val="22"/>
        </w:rPr>
        <w:t xml:space="preserve"> guidelines </w:t>
      </w:r>
      <w:r w:rsidRPr="001A1D29">
        <w:rPr>
          <w:bCs/>
          <w:szCs w:val="22"/>
        </w:rPr>
        <w:t>should be followed</w:t>
      </w:r>
      <w:r w:rsidR="005C2C0C">
        <w:rPr>
          <w:bCs/>
          <w:szCs w:val="22"/>
        </w:rPr>
        <w:t xml:space="preserve"> from the start of the study</w:t>
      </w:r>
      <w:r w:rsidR="00D026E9">
        <w:rPr>
          <w:bCs/>
          <w:szCs w:val="22"/>
        </w:rPr>
        <w:t>, please contact the Research and Human Tissue Manager for further information</w:t>
      </w:r>
      <w:r w:rsidRPr="001A1D29">
        <w:rPr>
          <w:bCs/>
          <w:szCs w:val="22"/>
        </w:rPr>
        <w:t>:</w:t>
      </w:r>
    </w:p>
    <w:p w14:paraId="7D45FA9F" w14:textId="77777777" w:rsidR="00905527" w:rsidRPr="009B76C8" w:rsidRDefault="00905527" w:rsidP="00250400">
      <w:pPr>
        <w:pStyle w:val="BodyText"/>
        <w:ind w:left="360"/>
        <w:jc w:val="both"/>
        <w:rPr>
          <w:bCs/>
          <w:szCs w:val="22"/>
        </w:rPr>
      </w:pPr>
    </w:p>
    <w:p w14:paraId="00ACAEE2" w14:textId="77777777" w:rsidR="00250400" w:rsidRPr="009B76C8" w:rsidRDefault="00905527" w:rsidP="00E4157A">
      <w:pPr>
        <w:pStyle w:val="BodyText"/>
        <w:jc w:val="both"/>
        <w:rPr>
          <w:bCs/>
          <w:szCs w:val="22"/>
        </w:rPr>
      </w:pPr>
      <w:r w:rsidRPr="009B76C8">
        <w:rPr>
          <w:bCs/>
          <w:szCs w:val="22"/>
        </w:rPr>
        <w:t>Further information can be found in the following resources:</w:t>
      </w:r>
    </w:p>
    <w:p w14:paraId="02126DD1" w14:textId="77777777" w:rsidR="000C71B7" w:rsidRDefault="000C71B7" w:rsidP="000C71B7">
      <w:pPr>
        <w:pStyle w:val="BodyText"/>
        <w:numPr>
          <w:ilvl w:val="0"/>
          <w:numId w:val="30"/>
        </w:numPr>
        <w:jc w:val="both"/>
      </w:pPr>
      <w:hyperlink r:id="rId37" w:history="1">
        <w:r w:rsidRPr="003C044B">
          <w:rPr>
            <w:rStyle w:val="Hyperlink"/>
          </w:rPr>
          <w:t>MRC ethics series Human Tissue and Biological Samples for Use in Re</w:t>
        </w:r>
        <w:r w:rsidRPr="003C044B">
          <w:rPr>
            <w:rStyle w:val="Hyperlink"/>
          </w:rPr>
          <w:t>s</w:t>
        </w:r>
        <w:r w:rsidRPr="003C044B">
          <w:rPr>
            <w:rStyle w:val="Hyperlink"/>
          </w:rPr>
          <w:t>earch: Operational and Ethical Guidelines (2014)</w:t>
        </w:r>
      </w:hyperlink>
    </w:p>
    <w:p w14:paraId="3CF42F8A" w14:textId="1A72C935" w:rsidR="00905527" w:rsidRDefault="000C71B7" w:rsidP="00B91F8A">
      <w:pPr>
        <w:pStyle w:val="BodyText"/>
        <w:numPr>
          <w:ilvl w:val="0"/>
          <w:numId w:val="30"/>
        </w:numPr>
        <w:jc w:val="both"/>
      </w:pPr>
      <w:hyperlink r:id="rId38" w:history="1">
        <w:r w:rsidR="00905527" w:rsidRPr="000C71B7">
          <w:rPr>
            <w:rStyle w:val="Hyperlink"/>
          </w:rPr>
          <w:t xml:space="preserve">MRC </w:t>
        </w:r>
        <w:r w:rsidR="00905527" w:rsidRPr="000C71B7">
          <w:rPr>
            <w:rStyle w:val="Hyperlink"/>
          </w:rPr>
          <w:t>e</w:t>
        </w:r>
        <w:r w:rsidR="00905527" w:rsidRPr="000C71B7">
          <w:rPr>
            <w:rStyle w:val="Hyperlink"/>
          </w:rPr>
          <w:t xml:space="preserve">thics series </w:t>
        </w:r>
        <w:proofErr w:type="gramStart"/>
        <w:r w:rsidR="00905527" w:rsidRPr="000C71B7">
          <w:rPr>
            <w:rStyle w:val="Hyperlink"/>
          </w:rPr>
          <w:t>Good</w:t>
        </w:r>
        <w:proofErr w:type="gramEnd"/>
        <w:r w:rsidR="00905527" w:rsidRPr="000C71B7">
          <w:rPr>
            <w:rStyle w:val="Hyperlink"/>
          </w:rPr>
          <w:t xml:space="preserve"> research practice: Principles and guidelines (2012)</w:t>
        </w:r>
      </w:hyperlink>
    </w:p>
    <w:p w14:paraId="7ED098DF" w14:textId="77777777" w:rsidR="00F20A17" w:rsidRDefault="00F20A17">
      <w:pPr>
        <w:pStyle w:val="BodyText"/>
        <w:jc w:val="both"/>
        <w:rPr>
          <w:bCs/>
        </w:rPr>
      </w:pPr>
    </w:p>
    <w:p w14:paraId="238597C1" w14:textId="34CF547D" w:rsidR="00F20A17" w:rsidRDefault="00F20A17">
      <w:pPr>
        <w:jc w:val="both"/>
        <w:rPr>
          <w:rFonts w:ascii="Arial" w:hAnsi="Arial" w:cs="Arial"/>
          <w:sz w:val="22"/>
          <w:szCs w:val="22"/>
        </w:rPr>
      </w:pPr>
      <w:r>
        <w:rPr>
          <w:rFonts w:ascii="Arial" w:hAnsi="Arial" w:cs="Arial"/>
          <w:sz w:val="22"/>
          <w:szCs w:val="22"/>
        </w:rPr>
        <w:t xml:space="preserve">If </w:t>
      </w:r>
      <w:r w:rsidR="008D3FE1">
        <w:rPr>
          <w:rFonts w:ascii="Arial" w:hAnsi="Arial" w:cs="Arial"/>
          <w:sz w:val="22"/>
          <w:szCs w:val="22"/>
        </w:rPr>
        <w:t xml:space="preserve">after reading the section </w:t>
      </w:r>
      <w:r w:rsidR="00F17451">
        <w:rPr>
          <w:rFonts w:ascii="Arial" w:hAnsi="Arial" w:cs="Arial"/>
          <w:sz w:val="22"/>
          <w:szCs w:val="22"/>
        </w:rPr>
        <w:t>above,</w:t>
      </w:r>
      <w:r w:rsidR="008D3FE1">
        <w:rPr>
          <w:rFonts w:ascii="Arial" w:hAnsi="Arial" w:cs="Arial"/>
          <w:sz w:val="22"/>
          <w:szCs w:val="22"/>
        </w:rPr>
        <w:t xml:space="preserve"> </w:t>
      </w:r>
      <w:r>
        <w:rPr>
          <w:rFonts w:ascii="Arial" w:hAnsi="Arial" w:cs="Arial"/>
          <w:sz w:val="22"/>
          <w:szCs w:val="22"/>
        </w:rPr>
        <w:t xml:space="preserve">you </w:t>
      </w:r>
      <w:r w:rsidR="008D3FE1">
        <w:rPr>
          <w:rFonts w:ascii="Arial" w:hAnsi="Arial" w:cs="Arial"/>
          <w:sz w:val="22"/>
          <w:szCs w:val="22"/>
        </w:rPr>
        <w:t xml:space="preserve">have established that it is unlikely that you are able to work under a </w:t>
      </w:r>
      <w:r w:rsidR="00E11E86">
        <w:rPr>
          <w:rFonts w:ascii="Arial" w:hAnsi="Arial" w:cs="Arial"/>
          <w:sz w:val="22"/>
          <w:szCs w:val="22"/>
        </w:rPr>
        <w:t>L</w:t>
      </w:r>
      <w:r w:rsidR="008D3FE1">
        <w:rPr>
          <w:rFonts w:ascii="Arial" w:hAnsi="Arial" w:cs="Arial"/>
          <w:sz w:val="22"/>
          <w:szCs w:val="22"/>
        </w:rPr>
        <w:t xml:space="preserve">icence exemption and you </w:t>
      </w:r>
      <w:r>
        <w:rPr>
          <w:rFonts w:ascii="Arial" w:hAnsi="Arial" w:cs="Arial"/>
          <w:sz w:val="22"/>
          <w:szCs w:val="22"/>
        </w:rPr>
        <w:t xml:space="preserve">believe that you may require a </w:t>
      </w:r>
      <w:r w:rsidR="00E11E86">
        <w:rPr>
          <w:rFonts w:ascii="Arial" w:hAnsi="Arial" w:cs="Arial"/>
          <w:sz w:val="22"/>
          <w:szCs w:val="22"/>
        </w:rPr>
        <w:t>L</w:t>
      </w:r>
      <w:r>
        <w:rPr>
          <w:rFonts w:ascii="Arial" w:hAnsi="Arial" w:cs="Arial"/>
          <w:sz w:val="22"/>
          <w:szCs w:val="22"/>
        </w:rPr>
        <w:t xml:space="preserve">icence you should contact the </w:t>
      </w:r>
      <w:r w:rsidR="006840A1" w:rsidRPr="009340F5">
        <w:rPr>
          <w:rFonts w:ascii="Arial" w:hAnsi="Arial" w:cs="Arial"/>
          <w:sz w:val="22"/>
          <w:szCs w:val="22"/>
        </w:rPr>
        <w:t xml:space="preserve">Research </w:t>
      </w:r>
      <w:r w:rsidR="006840A1">
        <w:rPr>
          <w:rFonts w:ascii="Arial" w:hAnsi="Arial" w:cs="Arial"/>
          <w:sz w:val="22"/>
          <w:szCs w:val="22"/>
        </w:rPr>
        <w:t xml:space="preserve">and </w:t>
      </w:r>
      <w:r w:rsidR="003D3B63">
        <w:rPr>
          <w:rFonts w:ascii="Arial" w:hAnsi="Arial" w:cs="Arial"/>
          <w:sz w:val="22"/>
          <w:szCs w:val="22"/>
        </w:rPr>
        <w:t xml:space="preserve">Human Tissue </w:t>
      </w:r>
      <w:r w:rsidR="0092399D">
        <w:rPr>
          <w:rFonts w:ascii="Arial" w:hAnsi="Arial" w:cs="Arial"/>
          <w:sz w:val="22"/>
          <w:szCs w:val="22"/>
        </w:rPr>
        <w:t>Manager</w:t>
      </w:r>
      <w:r w:rsidR="00711A37">
        <w:rPr>
          <w:rFonts w:ascii="Arial" w:hAnsi="Arial" w:cs="Arial"/>
          <w:sz w:val="22"/>
          <w:szCs w:val="22"/>
        </w:rPr>
        <w:t>.</w:t>
      </w:r>
      <w:r w:rsidR="006840A1" w:rsidRPr="009340F5">
        <w:rPr>
          <w:rFonts w:ascii="Arial" w:hAnsi="Arial" w:cs="Arial"/>
          <w:sz w:val="22"/>
          <w:szCs w:val="22"/>
        </w:rPr>
        <w:t xml:space="preserve"> </w:t>
      </w:r>
    </w:p>
    <w:p w14:paraId="543AC487" w14:textId="77777777" w:rsidR="001E19A3" w:rsidRDefault="001E19A3">
      <w:pPr>
        <w:jc w:val="both"/>
        <w:rPr>
          <w:rFonts w:ascii="Arial" w:hAnsi="Arial" w:cs="Arial"/>
          <w:sz w:val="22"/>
          <w:szCs w:val="22"/>
        </w:rPr>
      </w:pPr>
    </w:p>
    <w:p w14:paraId="4DB2FEC2" w14:textId="77777777" w:rsidR="001062AE" w:rsidRDefault="001062AE">
      <w:pPr>
        <w:rPr>
          <w:rFonts w:ascii="Arial" w:hAnsi="Arial" w:cs="Arial"/>
          <w:b/>
          <w:bCs/>
        </w:rPr>
      </w:pPr>
      <w:bookmarkStart w:id="18" w:name="_Toc417640713"/>
      <w:bookmarkStart w:id="19" w:name="_Toc417640767"/>
      <w:r>
        <w:br w:type="page"/>
      </w:r>
    </w:p>
    <w:p w14:paraId="6D92486E" w14:textId="01A5B8E6" w:rsidR="001E19A3" w:rsidRPr="005D0531" w:rsidRDefault="001E19A3" w:rsidP="005D0531">
      <w:pPr>
        <w:pStyle w:val="Heading1"/>
        <w:numPr>
          <w:ilvl w:val="0"/>
          <w:numId w:val="0"/>
        </w:numPr>
        <w:jc w:val="left"/>
      </w:pPr>
      <w:r>
        <w:lastRenderedPageBreak/>
        <w:t>Part D: Further advice and guidance</w:t>
      </w:r>
      <w:bookmarkEnd w:id="18"/>
      <w:bookmarkEnd w:id="19"/>
    </w:p>
    <w:p w14:paraId="1FF1988D" w14:textId="77777777" w:rsidR="001E19A3" w:rsidRDefault="001E19A3" w:rsidP="001E19A3">
      <w:pPr>
        <w:rPr>
          <w:rFonts w:ascii="Arial" w:hAnsi="Arial" w:cs="Arial"/>
          <w:b/>
        </w:rPr>
      </w:pPr>
    </w:p>
    <w:p w14:paraId="127624FA" w14:textId="30A8087E" w:rsidR="001E19A3" w:rsidRDefault="001E19A3" w:rsidP="001E19A3">
      <w:pPr>
        <w:jc w:val="both"/>
        <w:rPr>
          <w:rFonts w:ascii="Arial" w:hAnsi="Arial" w:cs="Arial"/>
          <w:sz w:val="22"/>
          <w:szCs w:val="22"/>
        </w:rPr>
      </w:pPr>
      <w:r>
        <w:rPr>
          <w:rFonts w:ascii="Arial" w:hAnsi="Arial" w:cs="Arial"/>
          <w:sz w:val="22"/>
          <w:szCs w:val="22"/>
        </w:rPr>
        <w:t xml:space="preserve">In the first instance please contact the Research and </w:t>
      </w:r>
      <w:r w:rsidR="003D3B63">
        <w:rPr>
          <w:rFonts w:ascii="Arial" w:hAnsi="Arial" w:cs="Arial"/>
          <w:sz w:val="22"/>
          <w:szCs w:val="22"/>
        </w:rPr>
        <w:t xml:space="preserve">Human Tissue </w:t>
      </w:r>
      <w:r>
        <w:rPr>
          <w:rFonts w:ascii="Arial" w:hAnsi="Arial" w:cs="Arial"/>
          <w:sz w:val="22"/>
          <w:szCs w:val="22"/>
        </w:rPr>
        <w:t>Manager or the Head of Research Governance for advice in relation to the HT Act. Concerns and problems may be referred to the HTWG or to the LH representative for resolution.</w:t>
      </w:r>
    </w:p>
    <w:p w14:paraId="597556CC" w14:textId="77777777" w:rsidR="001E19A3" w:rsidRDefault="001E19A3" w:rsidP="001E19A3">
      <w:pPr>
        <w:rPr>
          <w:rFonts w:ascii="Arial" w:hAnsi="Arial" w:cs="Arial"/>
          <w:b/>
        </w:rPr>
      </w:pPr>
    </w:p>
    <w:p w14:paraId="4F76E3D6" w14:textId="77777777" w:rsidR="00064513" w:rsidRDefault="00064513">
      <w:pPr>
        <w:rPr>
          <w:rFonts w:ascii="Arial" w:hAnsi="Arial" w:cs="Arial"/>
          <w:b/>
          <w:szCs w:val="22"/>
        </w:rPr>
      </w:pPr>
      <w:r>
        <w:rPr>
          <w:rFonts w:ascii="Arial" w:hAnsi="Arial" w:cs="Arial"/>
          <w:b/>
          <w:szCs w:val="22"/>
        </w:rPr>
        <w:br w:type="page"/>
      </w:r>
    </w:p>
    <w:p w14:paraId="058FB0FF" w14:textId="7BC4FEFB" w:rsidR="001E19A3" w:rsidRDefault="001E19A3" w:rsidP="001E19A3">
      <w:pPr>
        <w:jc w:val="both"/>
        <w:rPr>
          <w:rFonts w:ascii="Arial" w:hAnsi="Arial" w:cs="Arial"/>
          <w:b/>
          <w:szCs w:val="22"/>
        </w:rPr>
      </w:pPr>
      <w:r w:rsidRPr="00745A31">
        <w:rPr>
          <w:rFonts w:ascii="Arial" w:hAnsi="Arial" w:cs="Arial"/>
          <w:b/>
          <w:szCs w:val="22"/>
        </w:rPr>
        <w:lastRenderedPageBreak/>
        <w:t>Contact details:</w:t>
      </w:r>
    </w:p>
    <w:p w14:paraId="7485D4CA" w14:textId="77777777" w:rsidR="00745A31" w:rsidRPr="00745A31" w:rsidRDefault="00745A31" w:rsidP="001E19A3">
      <w:pPr>
        <w:jc w:val="both"/>
        <w:rPr>
          <w:rFonts w:ascii="Arial" w:hAnsi="Arial" w:cs="Arial"/>
          <w:b/>
          <w:szCs w:val="22"/>
        </w:rPr>
      </w:pPr>
    </w:p>
    <w:p w14:paraId="4D414563" w14:textId="61443DBF" w:rsidR="001E19A3" w:rsidRDefault="001E19A3" w:rsidP="001E19A3">
      <w:pPr>
        <w:jc w:val="both"/>
        <w:rPr>
          <w:rFonts w:ascii="Arial" w:hAnsi="Arial" w:cs="Arial"/>
          <w:sz w:val="22"/>
          <w:szCs w:val="22"/>
        </w:rPr>
      </w:pPr>
      <w:r>
        <w:rPr>
          <w:rFonts w:ascii="Arial" w:hAnsi="Arial" w:cs="Arial"/>
          <w:sz w:val="22"/>
          <w:szCs w:val="22"/>
        </w:rPr>
        <w:t xml:space="preserve">Research and </w:t>
      </w:r>
      <w:r w:rsidR="003D3B63">
        <w:rPr>
          <w:rFonts w:ascii="Arial" w:hAnsi="Arial" w:cs="Arial"/>
          <w:sz w:val="22"/>
          <w:szCs w:val="22"/>
        </w:rPr>
        <w:t xml:space="preserve">Human Tissue </w:t>
      </w:r>
      <w:r>
        <w:rPr>
          <w:rFonts w:ascii="Arial" w:hAnsi="Arial" w:cs="Arial"/>
          <w:sz w:val="22"/>
          <w:szCs w:val="22"/>
        </w:rPr>
        <w:t xml:space="preserve">Manager </w:t>
      </w:r>
    </w:p>
    <w:p w14:paraId="5C0FD87B" w14:textId="41ED4A99" w:rsidR="001E19A3" w:rsidRPr="00797063" w:rsidRDefault="002B7A88" w:rsidP="001E19A3">
      <w:pPr>
        <w:jc w:val="both"/>
        <w:rPr>
          <w:rFonts w:ascii="Arial" w:hAnsi="Arial" w:cs="Arial"/>
          <w:sz w:val="22"/>
          <w:szCs w:val="22"/>
        </w:rPr>
      </w:pPr>
      <w:r>
        <w:rPr>
          <w:rFonts w:ascii="Arial" w:hAnsi="Arial" w:cs="Arial"/>
          <w:sz w:val="22"/>
          <w:szCs w:val="22"/>
        </w:rPr>
        <w:t>r</w:t>
      </w:r>
      <w:r w:rsidR="003D3B63" w:rsidRPr="002B7A88">
        <w:rPr>
          <w:rFonts w:ascii="Arial" w:hAnsi="Arial" w:cs="Arial"/>
          <w:sz w:val="22"/>
          <w:szCs w:val="22"/>
        </w:rPr>
        <w:t>esearch-governance</w:t>
      </w:r>
      <w:r w:rsidR="001E19A3" w:rsidRPr="002B7A88">
        <w:rPr>
          <w:rFonts w:ascii="Arial" w:hAnsi="Arial" w:cs="Arial"/>
          <w:sz w:val="22"/>
          <w:szCs w:val="22"/>
        </w:rPr>
        <w:t xml:space="preserve">@bristol.ac.uk, </w:t>
      </w:r>
    </w:p>
    <w:p w14:paraId="66F0C7A4" w14:textId="77777777" w:rsidR="001E19A3" w:rsidRPr="00797063" w:rsidRDefault="001E19A3" w:rsidP="001E19A3">
      <w:pPr>
        <w:jc w:val="both"/>
        <w:rPr>
          <w:rFonts w:ascii="Arial" w:hAnsi="Arial" w:cs="Arial"/>
          <w:sz w:val="22"/>
          <w:szCs w:val="22"/>
        </w:rPr>
      </w:pPr>
    </w:p>
    <w:p w14:paraId="3E27BA11" w14:textId="650C8D7B" w:rsidR="001E19A3" w:rsidRDefault="001E19A3" w:rsidP="001E19A3">
      <w:pPr>
        <w:jc w:val="both"/>
        <w:rPr>
          <w:rFonts w:ascii="Arial" w:hAnsi="Arial" w:cs="Arial"/>
          <w:sz w:val="22"/>
          <w:szCs w:val="22"/>
        </w:rPr>
      </w:pPr>
      <w:r>
        <w:rPr>
          <w:rFonts w:ascii="Arial" w:hAnsi="Arial" w:cs="Arial"/>
          <w:sz w:val="22"/>
          <w:szCs w:val="22"/>
        </w:rPr>
        <w:t>Head of Research Governance</w:t>
      </w:r>
    </w:p>
    <w:p w14:paraId="1519EFB3" w14:textId="6F1EAB56" w:rsidR="001E19A3" w:rsidRPr="00B27E95" w:rsidRDefault="00AC1057" w:rsidP="001E19A3">
      <w:pPr>
        <w:jc w:val="both"/>
        <w:rPr>
          <w:rFonts w:ascii="Arial" w:hAnsi="Arial" w:cs="Arial"/>
          <w:sz w:val="22"/>
          <w:szCs w:val="22"/>
        </w:rPr>
      </w:pPr>
      <w:r>
        <w:rPr>
          <w:rFonts w:ascii="Arial" w:hAnsi="Arial" w:cs="Arial"/>
          <w:sz w:val="22"/>
          <w:szCs w:val="22"/>
        </w:rPr>
        <w:t>Adam.Taylor</w:t>
      </w:r>
      <w:r w:rsidR="001E19A3" w:rsidRPr="00B27E95">
        <w:rPr>
          <w:rFonts w:ascii="Arial" w:hAnsi="Arial" w:cs="Arial"/>
          <w:sz w:val="22"/>
          <w:szCs w:val="22"/>
        </w:rPr>
        <w:t xml:space="preserve">@bristol.ac.uk, </w:t>
      </w:r>
    </w:p>
    <w:p w14:paraId="1F0D717C" w14:textId="77777777" w:rsidR="001E19A3" w:rsidRPr="00B27E95" w:rsidRDefault="001E19A3" w:rsidP="001E19A3">
      <w:pPr>
        <w:jc w:val="both"/>
        <w:rPr>
          <w:rFonts w:ascii="Arial" w:hAnsi="Arial" w:cs="Arial"/>
          <w:sz w:val="22"/>
          <w:szCs w:val="22"/>
        </w:rPr>
      </w:pPr>
    </w:p>
    <w:p w14:paraId="61C75226" w14:textId="77777777" w:rsidR="0059578D" w:rsidRPr="00745A31" w:rsidRDefault="0059578D" w:rsidP="001E19A3">
      <w:pPr>
        <w:jc w:val="both"/>
        <w:rPr>
          <w:rFonts w:ascii="Arial" w:hAnsi="Arial" w:cs="Arial"/>
          <w:b/>
          <w:szCs w:val="22"/>
        </w:rPr>
      </w:pPr>
      <w:r w:rsidRPr="00745A31">
        <w:rPr>
          <w:rFonts w:ascii="Arial" w:hAnsi="Arial" w:cs="Arial"/>
          <w:b/>
          <w:szCs w:val="22"/>
        </w:rPr>
        <w:t>Useful links:</w:t>
      </w:r>
    </w:p>
    <w:p w14:paraId="36A76D2C" w14:textId="77777777" w:rsidR="0059578D" w:rsidRPr="00E305FD" w:rsidRDefault="0059578D" w:rsidP="001E19A3">
      <w:pPr>
        <w:jc w:val="both"/>
        <w:rPr>
          <w:rFonts w:ascii="Arial" w:hAnsi="Arial" w:cs="Arial"/>
          <w:sz w:val="22"/>
          <w:szCs w:val="22"/>
        </w:rPr>
      </w:pPr>
    </w:p>
    <w:p w14:paraId="50140401" w14:textId="0A5215E4" w:rsidR="0059578D" w:rsidRPr="00B27E95" w:rsidRDefault="00892476" w:rsidP="001E19A3">
      <w:pPr>
        <w:jc w:val="both"/>
        <w:rPr>
          <w:rFonts w:ascii="Arial" w:hAnsi="Arial" w:cs="Arial"/>
          <w:sz w:val="22"/>
          <w:szCs w:val="22"/>
        </w:rPr>
      </w:pPr>
      <w:hyperlink r:id="rId39" w:history="1">
        <w:r w:rsidR="0059578D" w:rsidRPr="00892476">
          <w:rPr>
            <w:rStyle w:val="Hyperlink"/>
            <w:rFonts w:ascii="Arial" w:hAnsi="Arial" w:cs="Arial"/>
            <w:sz w:val="22"/>
            <w:szCs w:val="22"/>
          </w:rPr>
          <w:t>University of Bristol human tis</w:t>
        </w:r>
        <w:r w:rsidR="0059578D" w:rsidRPr="00892476">
          <w:rPr>
            <w:rStyle w:val="Hyperlink"/>
            <w:rFonts w:ascii="Arial" w:hAnsi="Arial" w:cs="Arial"/>
            <w:sz w:val="22"/>
            <w:szCs w:val="22"/>
          </w:rPr>
          <w:t>s</w:t>
        </w:r>
        <w:r w:rsidR="0059578D" w:rsidRPr="00892476">
          <w:rPr>
            <w:rStyle w:val="Hyperlink"/>
            <w:rFonts w:ascii="Arial" w:hAnsi="Arial" w:cs="Arial"/>
            <w:sz w:val="22"/>
            <w:szCs w:val="22"/>
          </w:rPr>
          <w:t>ue webpages</w:t>
        </w:r>
      </w:hyperlink>
    </w:p>
    <w:p w14:paraId="00F42F7F" w14:textId="77777777" w:rsidR="001E19A3" w:rsidRPr="00B27E95" w:rsidRDefault="001E19A3" w:rsidP="001E19A3">
      <w:pPr>
        <w:jc w:val="both"/>
        <w:rPr>
          <w:rFonts w:ascii="Arial" w:hAnsi="Arial" w:cs="Arial"/>
          <w:sz w:val="22"/>
          <w:szCs w:val="22"/>
        </w:rPr>
      </w:pPr>
    </w:p>
    <w:p w14:paraId="32CEC745" w14:textId="6753E876" w:rsidR="0059578D" w:rsidRPr="00B27E95" w:rsidRDefault="00892476" w:rsidP="001E19A3">
      <w:pPr>
        <w:jc w:val="both"/>
        <w:rPr>
          <w:rFonts w:ascii="Arial" w:hAnsi="Arial" w:cs="Arial"/>
          <w:sz w:val="22"/>
          <w:szCs w:val="22"/>
        </w:rPr>
      </w:pPr>
      <w:hyperlink r:id="rId40" w:history="1">
        <w:r w:rsidR="0059578D" w:rsidRPr="00892476">
          <w:rPr>
            <w:rStyle w:val="Hyperlink"/>
            <w:rFonts w:ascii="Arial" w:hAnsi="Arial" w:cs="Arial"/>
            <w:sz w:val="22"/>
            <w:szCs w:val="22"/>
          </w:rPr>
          <w:t>University of Bristol Regulatio</w:t>
        </w:r>
        <w:r w:rsidR="0059578D" w:rsidRPr="00892476">
          <w:rPr>
            <w:rStyle w:val="Hyperlink"/>
            <w:rFonts w:ascii="Arial" w:hAnsi="Arial" w:cs="Arial"/>
            <w:sz w:val="22"/>
            <w:szCs w:val="22"/>
          </w:rPr>
          <w:t>n</w:t>
        </w:r>
        <w:r w:rsidR="0059578D" w:rsidRPr="00892476">
          <w:rPr>
            <w:rStyle w:val="Hyperlink"/>
            <w:rFonts w:ascii="Arial" w:hAnsi="Arial" w:cs="Arial"/>
            <w:sz w:val="22"/>
            <w:szCs w:val="22"/>
          </w:rPr>
          <w:t>s on Research misconduct</w:t>
        </w:r>
      </w:hyperlink>
    </w:p>
    <w:p w14:paraId="03927696" w14:textId="77777777" w:rsidR="000B63E6" w:rsidRDefault="000B63E6" w:rsidP="001E19A3">
      <w:pPr>
        <w:jc w:val="both"/>
        <w:rPr>
          <w:rFonts w:ascii="Arial" w:hAnsi="Arial" w:cs="Arial"/>
          <w:sz w:val="22"/>
          <w:szCs w:val="22"/>
        </w:rPr>
      </w:pPr>
    </w:p>
    <w:p w14:paraId="4B8B74FB" w14:textId="0B4F5DF8" w:rsidR="001E19A3" w:rsidRPr="00B27E95" w:rsidRDefault="00892476" w:rsidP="001E19A3">
      <w:pPr>
        <w:jc w:val="both"/>
        <w:rPr>
          <w:rFonts w:ascii="Arial" w:hAnsi="Arial" w:cs="Arial"/>
          <w:sz w:val="22"/>
          <w:szCs w:val="22"/>
        </w:rPr>
      </w:pPr>
      <w:hyperlink r:id="rId41" w:history="1">
        <w:r w:rsidR="001E19A3" w:rsidRPr="00892476">
          <w:rPr>
            <w:rStyle w:val="Hyperlink"/>
            <w:rFonts w:ascii="Arial" w:hAnsi="Arial" w:cs="Arial"/>
            <w:sz w:val="22"/>
            <w:szCs w:val="22"/>
          </w:rPr>
          <w:t>Human Tiss</w:t>
        </w:r>
        <w:r w:rsidR="001E19A3" w:rsidRPr="00892476">
          <w:rPr>
            <w:rStyle w:val="Hyperlink"/>
            <w:rFonts w:ascii="Arial" w:hAnsi="Arial" w:cs="Arial"/>
            <w:sz w:val="22"/>
            <w:szCs w:val="22"/>
          </w:rPr>
          <w:t>u</w:t>
        </w:r>
        <w:r w:rsidR="001E19A3" w:rsidRPr="00892476">
          <w:rPr>
            <w:rStyle w:val="Hyperlink"/>
            <w:rFonts w:ascii="Arial" w:hAnsi="Arial" w:cs="Arial"/>
            <w:sz w:val="22"/>
            <w:szCs w:val="22"/>
          </w:rPr>
          <w:t>e Authority</w:t>
        </w:r>
      </w:hyperlink>
    </w:p>
    <w:p w14:paraId="4013A3DD" w14:textId="77777777" w:rsidR="001E19A3" w:rsidRPr="00B27E95" w:rsidRDefault="001E19A3" w:rsidP="001E19A3">
      <w:pPr>
        <w:jc w:val="both"/>
        <w:rPr>
          <w:rFonts w:ascii="Arial" w:hAnsi="Arial" w:cs="Arial"/>
          <w:sz w:val="22"/>
          <w:szCs w:val="22"/>
        </w:rPr>
      </w:pPr>
    </w:p>
    <w:p w14:paraId="4C823797" w14:textId="4A725D10" w:rsidR="0059578D" w:rsidRPr="000F48C3" w:rsidRDefault="006F4A98" w:rsidP="0059578D">
      <w:pPr>
        <w:jc w:val="both"/>
        <w:rPr>
          <w:rFonts w:ascii="Arial" w:hAnsi="Arial" w:cs="Arial"/>
          <w:sz w:val="22"/>
          <w:szCs w:val="22"/>
        </w:rPr>
      </w:pPr>
      <w:hyperlink r:id="rId42" w:history="1">
        <w:r w:rsidR="0059578D" w:rsidRPr="006F4A98">
          <w:rPr>
            <w:rStyle w:val="Hyperlink"/>
            <w:rFonts w:ascii="Arial" w:hAnsi="Arial" w:cs="Arial"/>
            <w:sz w:val="22"/>
            <w:szCs w:val="22"/>
          </w:rPr>
          <w:t>HTA Codes of</w:t>
        </w:r>
        <w:r w:rsidR="0059578D" w:rsidRPr="006F4A98">
          <w:rPr>
            <w:rStyle w:val="Hyperlink"/>
            <w:rFonts w:ascii="Arial" w:hAnsi="Arial" w:cs="Arial"/>
            <w:sz w:val="22"/>
            <w:szCs w:val="22"/>
          </w:rPr>
          <w:t xml:space="preserve"> </w:t>
        </w:r>
        <w:r w:rsidR="0059578D" w:rsidRPr="006F4A98">
          <w:rPr>
            <w:rStyle w:val="Hyperlink"/>
            <w:rFonts w:ascii="Arial" w:hAnsi="Arial" w:cs="Arial"/>
            <w:sz w:val="22"/>
            <w:szCs w:val="22"/>
          </w:rPr>
          <w:t>Practice</w:t>
        </w:r>
        <w:r w:rsidR="00892476" w:rsidRPr="006F4A98">
          <w:rPr>
            <w:rStyle w:val="Hyperlink"/>
            <w:rFonts w:ascii="Arial" w:hAnsi="Arial" w:cs="Arial"/>
            <w:sz w:val="22"/>
            <w:szCs w:val="22"/>
          </w:rPr>
          <w:t xml:space="preserve">, </w:t>
        </w:r>
        <w:proofErr w:type="gramStart"/>
        <w:r w:rsidR="00892476" w:rsidRPr="006F4A98">
          <w:rPr>
            <w:rStyle w:val="Hyperlink"/>
            <w:rFonts w:ascii="Arial" w:hAnsi="Arial" w:cs="Arial"/>
            <w:sz w:val="22"/>
            <w:szCs w:val="22"/>
          </w:rPr>
          <w:t>standards</w:t>
        </w:r>
        <w:proofErr w:type="gramEnd"/>
        <w:r w:rsidR="00892476" w:rsidRPr="006F4A98">
          <w:rPr>
            <w:rStyle w:val="Hyperlink"/>
            <w:rFonts w:ascii="Arial" w:hAnsi="Arial" w:cs="Arial"/>
            <w:sz w:val="22"/>
            <w:szCs w:val="22"/>
          </w:rPr>
          <w:t xml:space="preserve"> and guidance</w:t>
        </w:r>
      </w:hyperlink>
      <w:r w:rsidR="00892476">
        <w:rPr>
          <w:rFonts w:ascii="Arial" w:hAnsi="Arial" w:cs="Arial"/>
          <w:sz w:val="22"/>
          <w:szCs w:val="22"/>
        </w:rPr>
        <w:t xml:space="preserve"> </w:t>
      </w:r>
    </w:p>
    <w:p w14:paraId="3A9B81AF" w14:textId="77777777" w:rsidR="0059578D" w:rsidRPr="00B27E95" w:rsidRDefault="0059578D" w:rsidP="001E19A3">
      <w:pPr>
        <w:jc w:val="both"/>
        <w:rPr>
          <w:rFonts w:ascii="Arial" w:hAnsi="Arial" w:cs="Arial"/>
          <w:sz w:val="22"/>
          <w:szCs w:val="22"/>
        </w:rPr>
      </w:pPr>
    </w:p>
    <w:p w14:paraId="55988E23" w14:textId="7DBC8C04" w:rsidR="0059578D" w:rsidRDefault="006F4A98" w:rsidP="001E19A3">
      <w:pPr>
        <w:jc w:val="both"/>
        <w:rPr>
          <w:rFonts w:ascii="Arial" w:hAnsi="Arial" w:cs="Arial"/>
          <w:sz w:val="22"/>
          <w:szCs w:val="22"/>
        </w:rPr>
      </w:pPr>
      <w:hyperlink r:id="rId43" w:history="1">
        <w:r w:rsidR="00E305FD" w:rsidRPr="006F4A98">
          <w:rPr>
            <w:rStyle w:val="Hyperlink"/>
            <w:rFonts w:ascii="Arial" w:hAnsi="Arial" w:cs="Arial"/>
            <w:sz w:val="22"/>
            <w:szCs w:val="22"/>
          </w:rPr>
          <w:t xml:space="preserve">HTA </w:t>
        </w:r>
        <w:r w:rsidRPr="006F4A98">
          <w:rPr>
            <w:rStyle w:val="Hyperlink"/>
            <w:rFonts w:ascii="Arial" w:hAnsi="Arial" w:cs="Arial"/>
            <w:sz w:val="22"/>
            <w:szCs w:val="22"/>
          </w:rPr>
          <w:t>d</w:t>
        </w:r>
        <w:r w:rsidR="0059578D" w:rsidRPr="006F4A98">
          <w:rPr>
            <w:rStyle w:val="Hyperlink"/>
            <w:rFonts w:ascii="Arial" w:hAnsi="Arial" w:cs="Arial"/>
            <w:sz w:val="22"/>
            <w:szCs w:val="22"/>
          </w:rPr>
          <w:t xml:space="preserve">efinition </w:t>
        </w:r>
        <w:r w:rsidR="0059578D" w:rsidRPr="006F4A98">
          <w:rPr>
            <w:rStyle w:val="Hyperlink"/>
            <w:rFonts w:ascii="Arial" w:hAnsi="Arial" w:cs="Arial"/>
            <w:sz w:val="22"/>
            <w:szCs w:val="22"/>
          </w:rPr>
          <w:t>o</w:t>
        </w:r>
        <w:r w:rsidR="0059578D" w:rsidRPr="006F4A98">
          <w:rPr>
            <w:rStyle w:val="Hyperlink"/>
            <w:rFonts w:ascii="Arial" w:hAnsi="Arial" w:cs="Arial"/>
            <w:sz w:val="22"/>
            <w:szCs w:val="22"/>
          </w:rPr>
          <w:t>f Relevant Material</w:t>
        </w:r>
      </w:hyperlink>
    </w:p>
    <w:p w14:paraId="7E1D1AB3" w14:textId="77777777" w:rsidR="006F4A98" w:rsidRPr="00B27E95" w:rsidRDefault="006F4A98" w:rsidP="001E19A3">
      <w:pPr>
        <w:jc w:val="both"/>
        <w:rPr>
          <w:rFonts w:ascii="Arial" w:hAnsi="Arial" w:cs="Arial"/>
          <w:sz w:val="22"/>
          <w:szCs w:val="22"/>
        </w:rPr>
      </w:pPr>
    </w:p>
    <w:p w14:paraId="5891B898" w14:textId="3FE6B07C" w:rsidR="0059578D" w:rsidRPr="00B27E95" w:rsidRDefault="006F4A98" w:rsidP="001E19A3">
      <w:pPr>
        <w:jc w:val="both"/>
        <w:rPr>
          <w:rFonts w:ascii="Arial" w:hAnsi="Arial" w:cs="Arial"/>
          <w:sz w:val="22"/>
          <w:szCs w:val="22"/>
        </w:rPr>
      </w:pPr>
      <w:hyperlink r:id="rId44" w:history="1">
        <w:r w:rsidR="00E305FD" w:rsidRPr="006F4A98">
          <w:rPr>
            <w:rStyle w:val="Hyperlink"/>
            <w:rFonts w:ascii="Arial" w:hAnsi="Arial" w:cs="Arial"/>
            <w:sz w:val="22"/>
            <w:szCs w:val="22"/>
          </w:rPr>
          <w:t xml:space="preserve">HTA </w:t>
        </w:r>
        <w:r w:rsidR="00F97A6B" w:rsidRPr="006F4A98">
          <w:rPr>
            <w:rStyle w:val="Hyperlink"/>
            <w:rFonts w:ascii="Arial" w:hAnsi="Arial" w:cs="Arial"/>
            <w:sz w:val="22"/>
            <w:szCs w:val="22"/>
          </w:rPr>
          <w:t>l</w:t>
        </w:r>
        <w:r w:rsidR="0059578D" w:rsidRPr="006F4A98">
          <w:rPr>
            <w:rStyle w:val="Hyperlink"/>
            <w:rFonts w:ascii="Arial" w:hAnsi="Arial" w:cs="Arial"/>
            <w:sz w:val="22"/>
            <w:szCs w:val="22"/>
          </w:rPr>
          <w:t>icensing</w:t>
        </w:r>
        <w:r w:rsidR="0059578D" w:rsidRPr="006F4A98">
          <w:rPr>
            <w:rStyle w:val="Hyperlink"/>
            <w:rFonts w:ascii="Arial" w:hAnsi="Arial" w:cs="Arial"/>
            <w:sz w:val="22"/>
            <w:szCs w:val="22"/>
          </w:rPr>
          <w:t xml:space="preserve"> </w:t>
        </w:r>
        <w:r w:rsidR="0059578D" w:rsidRPr="006F4A98">
          <w:rPr>
            <w:rStyle w:val="Hyperlink"/>
            <w:rFonts w:ascii="Arial" w:hAnsi="Arial" w:cs="Arial"/>
            <w:sz w:val="22"/>
            <w:szCs w:val="22"/>
          </w:rPr>
          <w:t>information</w:t>
        </w:r>
      </w:hyperlink>
    </w:p>
    <w:p w14:paraId="69637DED" w14:textId="77777777" w:rsidR="008E20CF" w:rsidRPr="00B27E95" w:rsidRDefault="008E20CF" w:rsidP="001E19A3">
      <w:pPr>
        <w:jc w:val="both"/>
        <w:rPr>
          <w:rFonts w:ascii="Arial" w:hAnsi="Arial" w:cs="Arial"/>
          <w:sz w:val="22"/>
          <w:szCs w:val="22"/>
        </w:rPr>
      </w:pPr>
    </w:p>
    <w:p w14:paraId="71321E84" w14:textId="5893AD72" w:rsidR="006F4A98" w:rsidRPr="00B27E95" w:rsidRDefault="006F4A98" w:rsidP="00E305FD">
      <w:pPr>
        <w:jc w:val="both"/>
        <w:rPr>
          <w:rFonts w:ascii="Arial" w:hAnsi="Arial" w:cs="Arial"/>
          <w:sz w:val="22"/>
          <w:szCs w:val="22"/>
        </w:rPr>
      </w:pPr>
      <w:hyperlink r:id="rId45" w:history="1">
        <w:r w:rsidR="00E305FD" w:rsidRPr="006F4A98">
          <w:rPr>
            <w:rStyle w:val="Hyperlink"/>
            <w:rFonts w:ascii="Arial" w:hAnsi="Arial" w:cs="Arial"/>
            <w:sz w:val="22"/>
            <w:szCs w:val="22"/>
          </w:rPr>
          <w:t>Human Fert</w:t>
        </w:r>
        <w:r w:rsidR="00E305FD" w:rsidRPr="006F4A98">
          <w:rPr>
            <w:rStyle w:val="Hyperlink"/>
            <w:rFonts w:ascii="Arial" w:hAnsi="Arial" w:cs="Arial"/>
            <w:sz w:val="22"/>
            <w:szCs w:val="22"/>
          </w:rPr>
          <w:t>i</w:t>
        </w:r>
        <w:r w:rsidR="00E305FD" w:rsidRPr="006F4A98">
          <w:rPr>
            <w:rStyle w:val="Hyperlink"/>
            <w:rFonts w:ascii="Arial" w:hAnsi="Arial" w:cs="Arial"/>
            <w:sz w:val="22"/>
            <w:szCs w:val="22"/>
          </w:rPr>
          <w:t>lisation and Embryology Authority (HFEA</w:t>
        </w:r>
        <w:r w:rsidRPr="006F4A98">
          <w:rPr>
            <w:rStyle w:val="Hyperlink"/>
            <w:rFonts w:ascii="Arial" w:hAnsi="Arial" w:cs="Arial"/>
            <w:sz w:val="22"/>
            <w:szCs w:val="22"/>
          </w:rPr>
          <w:t>)</w:t>
        </w:r>
      </w:hyperlink>
    </w:p>
    <w:p w14:paraId="22608F8C" w14:textId="6E8B2A60" w:rsidR="00E305FD" w:rsidRDefault="00E305FD" w:rsidP="001E19A3">
      <w:pPr>
        <w:jc w:val="both"/>
        <w:rPr>
          <w:rFonts w:ascii="Arial" w:hAnsi="Arial" w:cs="Arial"/>
          <w:sz w:val="22"/>
          <w:szCs w:val="22"/>
        </w:rPr>
      </w:pPr>
    </w:p>
    <w:p w14:paraId="6BE59AA9" w14:textId="0E365214" w:rsidR="000C5CB0" w:rsidRDefault="006F4A98" w:rsidP="001E19A3">
      <w:pPr>
        <w:jc w:val="both"/>
        <w:rPr>
          <w:rFonts w:ascii="Arial" w:hAnsi="Arial" w:cs="Arial"/>
          <w:sz w:val="22"/>
          <w:szCs w:val="22"/>
        </w:rPr>
      </w:pPr>
      <w:hyperlink r:id="rId46" w:history="1">
        <w:r w:rsidR="000C5CB0" w:rsidRPr="006F4A98">
          <w:rPr>
            <w:rStyle w:val="Hyperlink"/>
            <w:rFonts w:ascii="Arial" w:hAnsi="Arial" w:cs="Arial"/>
            <w:sz w:val="22"/>
            <w:szCs w:val="22"/>
          </w:rPr>
          <w:t>MRC resou</w:t>
        </w:r>
        <w:r w:rsidR="000C5CB0" w:rsidRPr="006F4A98">
          <w:rPr>
            <w:rStyle w:val="Hyperlink"/>
            <w:rFonts w:ascii="Arial" w:hAnsi="Arial" w:cs="Arial"/>
            <w:sz w:val="22"/>
            <w:szCs w:val="22"/>
          </w:rPr>
          <w:t>r</w:t>
        </w:r>
        <w:r w:rsidR="000C5CB0" w:rsidRPr="006F4A98">
          <w:rPr>
            <w:rStyle w:val="Hyperlink"/>
            <w:rFonts w:ascii="Arial" w:hAnsi="Arial" w:cs="Arial"/>
            <w:sz w:val="22"/>
            <w:szCs w:val="22"/>
          </w:rPr>
          <w:t>ces for use of human samples in medical research</w:t>
        </w:r>
      </w:hyperlink>
      <w:r w:rsidR="007B746E">
        <w:rPr>
          <w:rFonts w:ascii="Arial" w:hAnsi="Arial" w:cs="Arial"/>
          <w:sz w:val="22"/>
          <w:szCs w:val="22"/>
        </w:rPr>
        <w:t xml:space="preserve"> </w:t>
      </w:r>
    </w:p>
    <w:p w14:paraId="49031E06" w14:textId="77777777" w:rsidR="000C5CB0" w:rsidRPr="00B27E95" w:rsidRDefault="000C5CB0" w:rsidP="001E19A3">
      <w:pPr>
        <w:jc w:val="both"/>
        <w:rPr>
          <w:rFonts w:ascii="Arial" w:hAnsi="Arial" w:cs="Arial"/>
          <w:sz w:val="22"/>
          <w:szCs w:val="22"/>
        </w:rPr>
      </w:pPr>
    </w:p>
    <w:p w14:paraId="6D6FAE12" w14:textId="4AEBC2EA" w:rsidR="008E20CF" w:rsidRPr="00B27E95" w:rsidRDefault="008A57BF" w:rsidP="001E19A3">
      <w:pPr>
        <w:jc w:val="both"/>
        <w:rPr>
          <w:rFonts w:ascii="Arial" w:hAnsi="Arial" w:cs="Arial"/>
          <w:sz w:val="22"/>
          <w:szCs w:val="22"/>
        </w:rPr>
      </w:pPr>
      <w:hyperlink r:id="rId47" w:history="1">
        <w:r w:rsidR="008E20CF" w:rsidRPr="008A57BF">
          <w:rPr>
            <w:rStyle w:val="Hyperlink"/>
            <w:rFonts w:ascii="Arial" w:hAnsi="Arial" w:cs="Arial"/>
            <w:sz w:val="22"/>
            <w:szCs w:val="22"/>
          </w:rPr>
          <w:t>MRC human</w:t>
        </w:r>
        <w:r w:rsidR="008E20CF" w:rsidRPr="008A57BF">
          <w:rPr>
            <w:rStyle w:val="Hyperlink"/>
            <w:rFonts w:ascii="Arial" w:hAnsi="Arial" w:cs="Arial"/>
            <w:sz w:val="22"/>
            <w:szCs w:val="22"/>
          </w:rPr>
          <w:t xml:space="preserve"> </w:t>
        </w:r>
        <w:r w:rsidR="008E20CF" w:rsidRPr="008A57BF">
          <w:rPr>
            <w:rStyle w:val="Hyperlink"/>
            <w:rFonts w:ascii="Arial" w:hAnsi="Arial" w:cs="Arial"/>
            <w:sz w:val="22"/>
            <w:szCs w:val="22"/>
          </w:rPr>
          <w:t>tissue legi</w:t>
        </w:r>
        <w:r w:rsidR="008E20CF" w:rsidRPr="008A57BF">
          <w:rPr>
            <w:rStyle w:val="Hyperlink"/>
            <w:rFonts w:ascii="Arial" w:hAnsi="Arial" w:cs="Arial"/>
            <w:sz w:val="22"/>
            <w:szCs w:val="22"/>
          </w:rPr>
          <w:t>s</w:t>
        </w:r>
        <w:r w:rsidR="008E20CF" w:rsidRPr="008A57BF">
          <w:rPr>
            <w:rStyle w:val="Hyperlink"/>
            <w:rFonts w:ascii="Arial" w:hAnsi="Arial" w:cs="Arial"/>
            <w:sz w:val="22"/>
            <w:szCs w:val="22"/>
          </w:rPr>
          <w:t>lation summaries</w:t>
        </w:r>
      </w:hyperlink>
    </w:p>
    <w:p w14:paraId="63BF873D" w14:textId="77777777" w:rsidR="000B63E6" w:rsidRDefault="000B63E6" w:rsidP="00E305FD">
      <w:pPr>
        <w:jc w:val="both"/>
        <w:rPr>
          <w:rFonts w:ascii="Arial" w:hAnsi="Arial" w:cs="Arial"/>
          <w:sz w:val="22"/>
          <w:szCs w:val="22"/>
        </w:rPr>
      </w:pPr>
    </w:p>
    <w:p w14:paraId="61F5D4D3" w14:textId="32F01E70" w:rsidR="00E305FD" w:rsidRPr="00B27E95" w:rsidRDefault="00836FA3" w:rsidP="00E305FD">
      <w:pPr>
        <w:jc w:val="both"/>
        <w:rPr>
          <w:rFonts w:ascii="Arial" w:hAnsi="Arial" w:cs="Arial"/>
          <w:sz w:val="22"/>
          <w:szCs w:val="22"/>
        </w:rPr>
      </w:pPr>
      <w:hyperlink r:id="rId48" w:history="1">
        <w:r w:rsidR="00E305FD" w:rsidRPr="00836FA3">
          <w:rPr>
            <w:rStyle w:val="Hyperlink"/>
            <w:rFonts w:ascii="Arial" w:hAnsi="Arial" w:cs="Arial"/>
            <w:sz w:val="22"/>
            <w:szCs w:val="22"/>
          </w:rPr>
          <w:t>MRC ethics series Human Tissue and Biological Samples for Use in Research: Operational and Et</w:t>
        </w:r>
        <w:r w:rsidR="00E305FD" w:rsidRPr="00836FA3">
          <w:rPr>
            <w:rStyle w:val="Hyperlink"/>
            <w:rFonts w:ascii="Arial" w:hAnsi="Arial" w:cs="Arial"/>
            <w:sz w:val="22"/>
            <w:szCs w:val="22"/>
          </w:rPr>
          <w:t>h</w:t>
        </w:r>
        <w:r w:rsidR="00E305FD" w:rsidRPr="00836FA3">
          <w:rPr>
            <w:rStyle w:val="Hyperlink"/>
            <w:rFonts w:ascii="Arial" w:hAnsi="Arial" w:cs="Arial"/>
            <w:sz w:val="22"/>
            <w:szCs w:val="22"/>
          </w:rPr>
          <w:t>ical Guidelines (201</w:t>
        </w:r>
        <w:r w:rsidR="00D8597C" w:rsidRPr="00836FA3">
          <w:rPr>
            <w:rStyle w:val="Hyperlink"/>
            <w:rFonts w:ascii="Arial" w:hAnsi="Arial" w:cs="Arial"/>
            <w:sz w:val="22"/>
            <w:szCs w:val="22"/>
          </w:rPr>
          <w:t>4</w:t>
        </w:r>
        <w:r w:rsidR="00E305FD" w:rsidRPr="00836FA3">
          <w:rPr>
            <w:rStyle w:val="Hyperlink"/>
            <w:rFonts w:ascii="Arial" w:hAnsi="Arial" w:cs="Arial"/>
            <w:sz w:val="22"/>
            <w:szCs w:val="22"/>
          </w:rPr>
          <w:t>)</w:t>
        </w:r>
      </w:hyperlink>
      <w:r w:rsidR="00E305FD" w:rsidRPr="00B27E95">
        <w:rPr>
          <w:rFonts w:ascii="Arial" w:hAnsi="Arial" w:cs="Arial"/>
          <w:sz w:val="22"/>
          <w:szCs w:val="22"/>
        </w:rPr>
        <w:t xml:space="preserve"> </w:t>
      </w:r>
      <w:r w:rsidR="000B63E6">
        <w:rPr>
          <w:rFonts w:ascii="Arial" w:hAnsi="Arial" w:cs="Arial"/>
          <w:sz w:val="22"/>
          <w:szCs w:val="22"/>
        </w:rPr>
        <w:t xml:space="preserve"> </w:t>
      </w:r>
    </w:p>
    <w:p w14:paraId="2EF28496" w14:textId="77777777" w:rsidR="00E305FD" w:rsidRPr="00B27E95" w:rsidRDefault="00E305FD" w:rsidP="00E305FD">
      <w:pPr>
        <w:jc w:val="both"/>
        <w:rPr>
          <w:rFonts w:ascii="Arial" w:hAnsi="Arial" w:cs="Arial"/>
          <w:sz w:val="22"/>
          <w:szCs w:val="22"/>
        </w:rPr>
      </w:pPr>
    </w:p>
    <w:p w14:paraId="28D5317B" w14:textId="52D9BA8F" w:rsidR="00E305FD" w:rsidRPr="00B27E95" w:rsidRDefault="002F2757" w:rsidP="00E305FD">
      <w:pPr>
        <w:jc w:val="both"/>
        <w:rPr>
          <w:rFonts w:ascii="Arial" w:hAnsi="Arial" w:cs="Arial"/>
          <w:sz w:val="22"/>
          <w:szCs w:val="22"/>
        </w:rPr>
      </w:pPr>
      <w:hyperlink r:id="rId49" w:history="1">
        <w:r w:rsidR="00E305FD" w:rsidRPr="002F2757">
          <w:rPr>
            <w:rStyle w:val="Hyperlink"/>
            <w:rFonts w:ascii="Arial" w:hAnsi="Arial" w:cs="Arial"/>
            <w:sz w:val="22"/>
            <w:szCs w:val="22"/>
          </w:rPr>
          <w:t>MRC ethics serie</w:t>
        </w:r>
        <w:r w:rsidR="00E305FD" w:rsidRPr="002F2757">
          <w:rPr>
            <w:rStyle w:val="Hyperlink"/>
            <w:rFonts w:ascii="Arial" w:hAnsi="Arial" w:cs="Arial"/>
            <w:sz w:val="22"/>
            <w:szCs w:val="22"/>
          </w:rPr>
          <w:t>s</w:t>
        </w:r>
        <w:r w:rsidR="00E305FD" w:rsidRPr="002F2757">
          <w:rPr>
            <w:rStyle w:val="Hyperlink"/>
            <w:rFonts w:ascii="Arial" w:hAnsi="Arial" w:cs="Arial"/>
            <w:sz w:val="22"/>
            <w:szCs w:val="22"/>
          </w:rPr>
          <w:t xml:space="preserve"> </w:t>
        </w:r>
        <w:proofErr w:type="gramStart"/>
        <w:r w:rsidR="00E305FD" w:rsidRPr="002F2757">
          <w:rPr>
            <w:rStyle w:val="Hyperlink"/>
            <w:rFonts w:ascii="Arial" w:hAnsi="Arial" w:cs="Arial"/>
            <w:sz w:val="22"/>
            <w:szCs w:val="22"/>
          </w:rPr>
          <w:t>Good</w:t>
        </w:r>
        <w:proofErr w:type="gramEnd"/>
        <w:r w:rsidR="00E305FD" w:rsidRPr="002F2757">
          <w:rPr>
            <w:rStyle w:val="Hyperlink"/>
            <w:rFonts w:ascii="Arial" w:hAnsi="Arial" w:cs="Arial"/>
            <w:sz w:val="22"/>
            <w:szCs w:val="22"/>
          </w:rPr>
          <w:t xml:space="preserve"> research practice: Principles and guidelines (2012)</w:t>
        </w:r>
      </w:hyperlink>
      <w:r w:rsidR="00E305FD" w:rsidRPr="00B27E95">
        <w:rPr>
          <w:rFonts w:ascii="Arial" w:hAnsi="Arial" w:cs="Arial"/>
          <w:sz w:val="22"/>
          <w:szCs w:val="22"/>
        </w:rPr>
        <w:t xml:space="preserve"> </w:t>
      </w:r>
    </w:p>
    <w:p w14:paraId="12D7535A" w14:textId="77777777" w:rsidR="00D33172" w:rsidRDefault="00D33172" w:rsidP="00E305FD">
      <w:pPr>
        <w:jc w:val="both"/>
        <w:rPr>
          <w:rFonts w:ascii="Arial" w:hAnsi="Arial" w:cs="Arial"/>
          <w:sz w:val="22"/>
          <w:szCs w:val="22"/>
        </w:rPr>
      </w:pPr>
    </w:p>
    <w:p w14:paraId="6170BC2E" w14:textId="10E90CF7" w:rsidR="00E305FD" w:rsidRDefault="002F2757">
      <w:pPr>
        <w:jc w:val="both"/>
        <w:rPr>
          <w:rFonts w:ascii="Arial" w:hAnsi="Arial" w:cs="Arial"/>
          <w:sz w:val="22"/>
          <w:szCs w:val="22"/>
        </w:rPr>
      </w:pPr>
      <w:hyperlink r:id="rId50" w:history="1">
        <w:r w:rsidR="00E305FD" w:rsidRPr="002F2757">
          <w:rPr>
            <w:rStyle w:val="Hyperlink"/>
            <w:rFonts w:ascii="Arial" w:hAnsi="Arial" w:cs="Arial"/>
            <w:sz w:val="22"/>
            <w:szCs w:val="22"/>
          </w:rPr>
          <w:t>MRC Guid</w:t>
        </w:r>
        <w:r w:rsidR="00E305FD" w:rsidRPr="002F2757">
          <w:rPr>
            <w:rStyle w:val="Hyperlink"/>
            <w:rFonts w:ascii="Arial" w:hAnsi="Arial" w:cs="Arial"/>
            <w:sz w:val="22"/>
            <w:szCs w:val="22"/>
          </w:rPr>
          <w:t>a</w:t>
        </w:r>
        <w:r w:rsidR="00E305FD" w:rsidRPr="002F2757">
          <w:rPr>
            <w:rStyle w:val="Hyperlink"/>
            <w:rFonts w:ascii="Arial" w:hAnsi="Arial" w:cs="Arial"/>
            <w:sz w:val="22"/>
            <w:szCs w:val="22"/>
          </w:rPr>
          <w:t>nce for staff asked to volunteer blood and/or other samples for research (2012)</w:t>
        </w:r>
      </w:hyperlink>
    </w:p>
    <w:p w14:paraId="57A31321" w14:textId="77777777" w:rsidR="00F17451" w:rsidRPr="00B27E95" w:rsidRDefault="00F17451">
      <w:pPr>
        <w:jc w:val="both"/>
        <w:rPr>
          <w:rFonts w:ascii="Arial" w:hAnsi="Arial" w:cs="Arial"/>
          <w:sz w:val="22"/>
          <w:szCs w:val="22"/>
        </w:rPr>
      </w:pPr>
    </w:p>
    <w:p w14:paraId="3CF0163D" w14:textId="030DE721" w:rsidR="0059578D" w:rsidRPr="00E4157A" w:rsidRDefault="006F4A98" w:rsidP="0059578D">
      <w:pPr>
        <w:jc w:val="both"/>
        <w:rPr>
          <w:rFonts w:ascii="Arial" w:hAnsi="Arial" w:cs="Arial"/>
          <w:sz w:val="22"/>
          <w:szCs w:val="22"/>
        </w:rPr>
      </w:pPr>
      <w:hyperlink r:id="rId51" w:history="1">
        <w:r w:rsidR="0059578D" w:rsidRPr="006F4A98">
          <w:rPr>
            <w:rStyle w:val="Hyperlink"/>
            <w:rFonts w:ascii="Arial" w:hAnsi="Arial" w:cs="Arial"/>
            <w:sz w:val="22"/>
            <w:szCs w:val="22"/>
          </w:rPr>
          <w:t>Health Resear</w:t>
        </w:r>
        <w:r w:rsidR="0059578D" w:rsidRPr="006F4A98">
          <w:rPr>
            <w:rStyle w:val="Hyperlink"/>
            <w:rFonts w:ascii="Arial" w:hAnsi="Arial" w:cs="Arial"/>
            <w:sz w:val="22"/>
            <w:szCs w:val="22"/>
          </w:rPr>
          <w:t>c</w:t>
        </w:r>
        <w:r w:rsidR="0059578D" w:rsidRPr="006F4A98">
          <w:rPr>
            <w:rStyle w:val="Hyperlink"/>
            <w:rFonts w:ascii="Arial" w:hAnsi="Arial" w:cs="Arial"/>
            <w:sz w:val="22"/>
            <w:szCs w:val="22"/>
          </w:rPr>
          <w:t>h Authority</w:t>
        </w:r>
      </w:hyperlink>
    </w:p>
    <w:p w14:paraId="619200B8" w14:textId="77777777" w:rsidR="008E20CF" w:rsidRDefault="008E20CF">
      <w:pPr>
        <w:jc w:val="both"/>
        <w:rPr>
          <w:rFonts w:ascii="Arial" w:hAnsi="Arial" w:cs="Arial"/>
          <w:sz w:val="22"/>
          <w:szCs w:val="22"/>
        </w:rPr>
      </w:pPr>
    </w:p>
    <w:p w14:paraId="39327586" w14:textId="77777777" w:rsidR="006A62D7" w:rsidRDefault="006A62D7" w:rsidP="004F39AA">
      <w:pPr>
        <w:jc w:val="both"/>
        <w:rPr>
          <w:rFonts w:ascii="Arial" w:hAnsi="Arial" w:cs="Arial"/>
          <w:sz w:val="22"/>
          <w:szCs w:val="22"/>
        </w:rPr>
      </w:pPr>
    </w:p>
    <w:p w14:paraId="7672FCBA" w14:textId="77777777" w:rsidR="00064513" w:rsidRDefault="00064513">
      <w:pPr>
        <w:jc w:val="both"/>
        <w:rPr>
          <w:rFonts w:ascii="Arial" w:hAnsi="Arial" w:cs="Arial"/>
          <w:sz w:val="22"/>
          <w:szCs w:val="22"/>
        </w:rPr>
      </w:pPr>
    </w:p>
    <w:p w14:paraId="1F0F5DF0" w14:textId="77777777" w:rsidR="00064513" w:rsidRDefault="00064513">
      <w:pPr>
        <w:jc w:val="both"/>
        <w:rPr>
          <w:rFonts w:ascii="Arial" w:hAnsi="Arial" w:cs="Arial"/>
          <w:sz w:val="22"/>
          <w:szCs w:val="22"/>
        </w:rPr>
      </w:pPr>
    </w:p>
    <w:p w14:paraId="0ECED5B0" w14:textId="77777777" w:rsidR="006F4A98" w:rsidRDefault="006F4A98">
      <w:pPr>
        <w:rPr>
          <w:rFonts w:ascii="Arial" w:hAnsi="Arial" w:cs="Arial"/>
          <w:sz w:val="22"/>
          <w:szCs w:val="22"/>
        </w:rPr>
      </w:pPr>
      <w:r>
        <w:rPr>
          <w:rFonts w:ascii="Arial" w:hAnsi="Arial" w:cs="Arial"/>
          <w:sz w:val="22"/>
          <w:szCs w:val="22"/>
        </w:rPr>
        <w:br w:type="page"/>
      </w:r>
    </w:p>
    <w:p w14:paraId="284F7C40" w14:textId="47687EA2" w:rsidR="002B7AD4" w:rsidRPr="002B7AD4" w:rsidRDefault="002B7AD4">
      <w:pPr>
        <w:jc w:val="both"/>
        <w:rPr>
          <w:rFonts w:ascii="Arial" w:hAnsi="Arial" w:cs="Arial"/>
          <w:sz w:val="22"/>
          <w:szCs w:val="22"/>
        </w:rPr>
      </w:pPr>
      <w:r w:rsidRPr="002B7AD4">
        <w:rPr>
          <w:rFonts w:ascii="Arial" w:hAnsi="Arial" w:cs="Arial"/>
          <w:sz w:val="22"/>
          <w:szCs w:val="22"/>
        </w:rPr>
        <w:lastRenderedPageBreak/>
        <w:t>Version Control</w:t>
      </w:r>
    </w:p>
    <w:p w14:paraId="0C5E77D9" w14:textId="77777777" w:rsidR="002B7AD4" w:rsidRPr="002B7AD4" w:rsidRDefault="002B7AD4">
      <w:pPr>
        <w:jc w:val="both"/>
        <w:rPr>
          <w:rFonts w:ascii="Arial" w:hAnsi="Arial" w:cs="Arial"/>
          <w:sz w:val="22"/>
          <w:szCs w:val="22"/>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5744"/>
        <w:gridCol w:w="1519"/>
      </w:tblGrid>
      <w:tr w:rsidR="002B7AD4" w:rsidRPr="002B7AD4" w14:paraId="4431CBCC" w14:textId="77777777" w:rsidTr="00D61C17">
        <w:tc>
          <w:tcPr>
            <w:tcW w:w="1384" w:type="dxa"/>
          </w:tcPr>
          <w:p w14:paraId="1F287615" w14:textId="77777777" w:rsidR="002B7AD4" w:rsidRPr="002B7AD4" w:rsidRDefault="002B7AD4" w:rsidP="00D61C17">
            <w:pPr>
              <w:pStyle w:val="EcoCampusNormalBold"/>
              <w:spacing w:before="120" w:after="120"/>
              <w:rPr>
                <w:rFonts w:cs="Arial"/>
                <w:b w:val="0"/>
                <w:sz w:val="22"/>
                <w:szCs w:val="22"/>
              </w:rPr>
            </w:pPr>
            <w:r w:rsidRPr="002B7AD4">
              <w:rPr>
                <w:rFonts w:cs="Arial"/>
                <w:b w:val="0"/>
                <w:sz w:val="22"/>
                <w:szCs w:val="22"/>
              </w:rPr>
              <w:t>VERSION</w:t>
            </w:r>
          </w:p>
        </w:tc>
        <w:tc>
          <w:tcPr>
            <w:tcW w:w="5744" w:type="dxa"/>
          </w:tcPr>
          <w:p w14:paraId="6E46CA95" w14:textId="77777777" w:rsidR="002B7AD4" w:rsidRPr="002B7AD4" w:rsidRDefault="002B7AD4" w:rsidP="00D61C17">
            <w:pPr>
              <w:pStyle w:val="EcoCampusNormalBold"/>
              <w:spacing w:before="120" w:after="120"/>
              <w:rPr>
                <w:rFonts w:cs="Arial"/>
                <w:b w:val="0"/>
                <w:sz w:val="22"/>
                <w:szCs w:val="22"/>
              </w:rPr>
            </w:pPr>
            <w:r w:rsidRPr="002B7AD4">
              <w:rPr>
                <w:rFonts w:cs="Arial"/>
                <w:b w:val="0"/>
                <w:sz w:val="22"/>
                <w:szCs w:val="22"/>
              </w:rPr>
              <w:t>REASON FOR THE CHANGE</w:t>
            </w:r>
          </w:p>
        </w:tc>
        <w:tc>
          <w:tcPr>
            <w:tcW w:w="1519" w:type="dxa"/>
          </w:tcPr>
          <w:p w14:paraId="2CD6B6DB" w14:textId="77777777" w:rsidR="002B7AD4" w:rsidRPr="002B7AD4" w:rsidRDefault="002B7AD4" w:rsidP="00D61C17">
            <w:pPr>
              <w:pStyle w:val="EcoCampusNormalBold"/>
              <w:spacing w:before="120" w:after="120"/>
              <w:rPr>
                <w:rFonts w:cs="Arial"/>
                <w:b w:val="0"/>
                <w:sz w:val="22"/>
                <w:szCs w:val="22"/>
              </w:rPr>
            </w:pPr>
            <w:r w:rsidRPr="002B7AD4">
              <w:rPr>
                <w:rFonts w:cs="Arial"/>
                <w:b w:val="0"/>
                <w:sz w:val="22"/>
                <w:szCs w:val="22"/>
              </w:rPr>
              <w:t>DATE</w:t>
            </w:r>
          </w:p>
        </w:tc>
      </w:tr>
      <w:tr w:rsidR="002B7AD4" w:rsidRPr="002B7AD4" w14:paraId="18DCB0C8" w14:textId="77777777" w:rsidTr="00D61C17">
        <w:tc>
          <w:tcPr>
            <w:tcW w:w="1384" w:type="dxa"/>
          </w:tcPr>
          <w:p w14:paraId="45641B97" w14:textId="77777777" w:rsidR="002B7AD4" w:rsidRPr="002B7AD4" w:rsidRDefault="002B7AD4" w:rsidP="00D61C17">
            <w:pPr>
              <w:rPr>
                <w:rFonts w:ascii="Arial" w:hAnsi="Arial" w:cs="Arial"/>
                <w:sz w:val="22"/>
                <w:szCs w:val="22"/>
              </w:rPr>
            </w:pPr>
            <w:r w:rsidRPr="002B7AD4">
              <w:rPr>
                <w:rFonts w:ascii="Arial" w:hAnsi="Arial" w:cs="Arial"/>
                <w:sz w:val="22"/>
                <w:szCs w:val="22"/>
              </w:rPr>
              <w:t>1</w:t>
            </w:r>
          </w:p>
        </w:tc>
        <w:tc>
          <w:tcPr>
            <w:tcW w:w="5744" w:type="dxa"/>
          </w:tcPr>
          <w:p w14:paraId="2C833876" w14:textId="77777777" w:rsidR="002B7AD4" w:rsidRPr="002B7AD4" w:rsidRDefault="002B7AD4" w:rsidP="00D61C17">
            <w:pPr>
              <w:rPr>
                <w:rFonts w:ascii="Arial" w:hAnsi="Arial" w:cs="Arial"/>
                <w:sz w:val="22"/>
                <w:szCs w:val="22"/>
              </w:rPr>
            </w:pPr>
          </w:p>
        </w:tc>
        <w:tc>
          <w:tcPr>
            <w:tcW w:w="1519" w:type="dxa"/>
          </w:tcPr>
          <w:p w14:paraId="4119E115" w14:textId="77777777" w:rsidR="002B7AD4" w:rsidRPr="002B7AD4" w:rsidRDefault="002B7AD4" w:rsidP="00D61C17">
            <w:pPr>
              <w:rPr>
                <w:rFonts w:ascii="Arial" w:hAnsi="Arial" w:cs="Arial"/>
                <w:sz w:val="22"/>
                <w:szCs w:val="22"/>
              </w:rPr>
            </w:pPr>
            <w:r w:rsidRPr="002B7AD4">
              <w:rPr>
                <w:rFonts w:ascii="Arial" w:hAnsi="Arial" w:cs="Arial"/>
                <w:sz w:val="22"/>
                <w:szCs w:val="22"/>
              </w:rPr>
              <w:t>02</w:t>
            </w:r>
            <w:r w:rsidR="00626EED">
              <w:rPr>
                <w:rFonts w:ascii="Arial" w:hAnsi="Arial" w:cs="Arial"/>
                <w:sz w:val="22"/>
                <w:szCs w:val="22"/>
              </w:rPr>
              <w:t>/</w:t>
            </w:r>
            <w:r w:rsidRPr="002B7AD4">
              <w:rPr>
                <w:rFonts w:ascii="Arial" w:hAnsi="Arial" w:cs="Arial"/>
                <w:sz w:val="22"/>
                <w:szCs w:val="22"/>
              </w:rPr>
              <w:t>03</w:t>
            </w:r>
            <w:r w:rsidR="00626EED">
              <w:rPr>
                <w:rFonts w:ascii="Arial" w:hAnsi="Arial" w:cs="Arial"/>
                <w:sz w:val="22"/>
                <w:szCs w:val="22"/>
              </w:rPr>
              <w:t>/20</w:t>
            </w:r>
            <w:r w:rsidRPr="002B7AD4">
              <w:rPr>
                <w:rFonts w:ascii="Arial" w:hAnsi="Arial" w:cs="Arial"/>
                <w:sz w:val="22"/>
                <w:szCs w:val="22"/>
              </w:rPr>
              <w:t>09</w:t>
            </w:r>
          </w:p>
        </w:tc>
      </w:tr>
      <w:tr w:rsidR="002B7AD4" w:rsidRPr="002B7AD4" w14:paraId="3D5B371B" w14:textId="77777777" w:rsidTr="00D61C17">
        <w:tc>
          <w:tcPr>
            <w:tcW w:w="1384" w:type="dxa"/>
          </w:tcPr>
          <w:p w14:paraId="6576AD70" w14:textId="77777777" w:rsidR="002B7AD4" w:rsidRPr="002B7AD4" w:rsidRDefault="002B7AD4" w:rsidP="00D61C17">
            <w:pPr>
              <w:rPr>
                <w:rFonts w:ascii="Arial" w:hAnsi="Arial" w:cs="Arial"/>
                <w:sz w:val="22"/>
                <w:szCs w:val="22"/>
              </w:rPr>
            </w:pPr>
            <w:r w:rsidRPr="002B7AD4">
              <w:rPr>
                <w:rFonts w:ascii="Arial" w:hAnsi="Arial" w:cs="Arial"/>
                <w:sz w:val="22"/>
                <w:szCs w:val="22"/>
              </w:rPr>
              <w:t>2</w:t>
            </w:r>
          </w:p>
        </w:tc>
        <w:tc>
          <w:tcPr>
            <w:tcW w:w="5744" w:type="dxa"/>
          </w:tcPr>
          <w:p w14:paraId="14E89827" w14:textId="77777777" w:rsidR="002B7AD4" w:rsidRPr="002B7AD4" w:rsidRDefault="002B7AD4" w:rsidP="00D61C17">
            <w:pPr>
              <w:rPr>
                <w:rFonts w:ascii="Arial" w:hAnsi="Arial" w:cs="Arial"/>
                <w:sz w:val="22"/>
                <w:szCs w:val="22"/>
              </w:rPr>
            </w:pPr>
            <w:r w:rsidRPr="002B7AD4">
              <w:rPr>
                <w:rFonts w:ascii="Arial" w:hAnsi="Arial" w:cs="Arial"/>
                <w:sz w:val="22"/>
                <w:szCs w:val="22"/>
              </w:rPr>
              <w:t>Addition of RTB section</w:t>
            </w:r>
          </w:p>
        </w:tc>
        <w:tc>
          <w:tcPr>
            <w:tcW w:w="1519" w:type="dxa"/>
          </w:tcPr>
          <w:p w14:paraId="3A21CA50" w14:textId="77777777" w:rsidR="002B7AD4" w:rsidRPr="002B7AD4" w:rsidRDefault="002B7AD4" w:rsidP="00D61C17">
            <w:pPr>
              <w:rPr>
                <w:rFonts w:ascii="Arial" w:hAnsi="Arial" w:cs="Arial"/>
                <w:sz w:val="22"/>
                <w:szCs w:val="22"/>
              </w:rPr>
            </w:pPr>
            <w:r w:rsidRPr="002B7AD4">
              <w:rPr>
                <w:rFonts w:ascii="Arial" w:hAnsi="Arial" w:cs="Arial"/>
                <w:sz w:val="22"/>
                <w:szCs w:val="22"/>
              </w:rPr>
              <w:t>10</w:t>
            </w:r>
            <w:r w:rsidR="00626EED">
              <w:rPr>
                <w:rFonts w:ascii="Arial" w:hAnsi="Arial" w:cs="Arial"/>
                <w:sz w:val="22"/>
                <w:szCs w:val="22"/>
              </w:rPr>
              <w:t>/</w:t>
            </w:r>
            <w:r w:rsidRPr="002B7AD4">
              <w:rPr>
                <w:rFonts w:ascii="Arial" w:hAnsi="Arial" w:cs="Arial"/>
                <w:sz w:val="22"/>
                <w:szCs w:val="22"/>
              </w:rPr>
              <w:t>09</w:t>
            </w:r>
            <w:r w:rsidR="00626EED">
              <w:rPr>
                <w:rFonts w:ascii="Arial" w:hAnsi="Arial" w:cs="Arial"/>
                <w:sz w:val="22"/>
                <w:szCs w:val="22"/>
              </w:rPr>
              <w:t>/20</w:t>
            </w:r>
            <w:r w:rsidRPr="002B7AD4">
              <w:rPr>
                <w:rFonts w:ascii="Arial" w:hAnsi="Arial" w:cs="Arial"/>
                <w:sz w:val="22"/>
                <w:szCs w:val="22"/>
              </w:rPr>
              <w:t>09</w:t>
            </w:r>
          </w:p>
        </w:tc>
      </w:tr>
      <w:tr w:rsidR="002B7AD4" w:rsidRPr="002B7AD4" w14:paraId="05016362" w14:textId="77777777" w:rsidTr="00D61C17">
        <w:tc>
          <w:tcPr>
            <w:tcW w:w="1384" w:type="dxa"/>
          </w:tcPr>
          <w:p w14:paraId="6F5DCAB1" w14:textId="77777777" w:rsidR="002B7AD4" w:rsidRPr="002B7AD4" w:rsidRDefault="002B7AD4" w:rsidP="00D61C17">
            <w:pPr>
              <w:rPr>
                <w:rFonts w:ascii="Arial" w:hAnsi="Arial" w:cs="Arial"/>
                <w:sz w:val="22"/>
                <w:szCs w:val="22"/>
              </w:rPr>
            </w:pPr>
            <w:r w:rsidRPr="002B7AD4">
              <w:rPr>
                <w:rFonts w:ascii="Arial" w:hAnsi="Arial" w:cs="Arial"/>
                <w:sz w:val="22"/>
                <w:szCs w:val="22"/>
              </w:rPr>
              <w:t>3</w:t>
            </w:r>
          </w:p>
        </w:tc>
        <w:tc>
          <w:tcPr>
            <w:tcW w:w="5744" w:type="dxa"/>
          </w:tcPr>
          <w:p w14:paraId="7C35D7DE" w14:textId="77777777" w:rsidR="002B7AD4" w:rsidRPr="002B7AD4" w:rsidRDefault="009338DA" w:rsidP="00D61C17">
            <w:pPr>
              <w:rPr>
                <w:rFonts w:ascii="Arial" w:hAnsi="Arial" w:cs="Arial"/>
                <w:sz w:val="22"/>
                <w:szCs w:val="22"/>
              </w:rPr>
            </w:pPr>
            <w:r>
              <w:rPr>
                <w:rFonts w:ascii="Arial" w:hAnsi="Arial" w:cs="Arial"/>
                <w:sz w:val="22"/>
                <w:szCs w:val="22"/>
              </w:rPr>
              <w:t>Routine updates and a</w:t>
            </w:r>
            <w:r w:rsidR="002B7AD4" w:rsidRPr="002B7AD4">
              <w:rPr>
                <w:rFonts w:ascii="Arial" w:hAnsi="Arial" w:cs="Arial"/>
                <w:sz w:val="22"/>
                <w:szCs w:val="22"/>
              </w:rPr>
              <w:t xml:space="preserve">ddition </w:t>
            </w:r>
            <w:proofErr w:type="gramStart"/>
            <w:r w:rsidR="002B7AD4" w:rsidRPr="002B7AD4">
              <w:rPr>
                <w:rFonts w:ascii="Arial" w:hAnsi="Arial" w:cs="Arial"/>
                <w:sz w:val="22"/>
                <w:szCs w:val="22"/>
              </w:rPr>
              <w:t>of</w:t>
            </w:r>
            <w:r w:rsidR="00E7476F">
              <w:rPr>
                <w:rFonts w:ascii="Arial" w:hAnsi="Arial" w:cs="Arial"/>
                <w:sz w:val="22"/>
                <w:szCs w:val="22"/>
              </w:rPr>
              <w:t>:</w:t>
            </w:r>
            <w:proofErr w:type="gramEnd"/>
            <w:r>
              <w:rPr>
                <w:rFonts w:ascii="Arial" w:hAnsi="Arial" w:cs="Arial"/>
                <w:sz w:val="22"/>
                <w:szCs w:val="22"/>
              </w:rPr>
              <w:t xml:space="preserve"> options upon expiry of ethical approval</w:t>
            </w:r>
            <w:r w:rsidR="00E7476F">
              <w:rPr>
                <w:rFonts w:ascii="Arial" w:hAnsi="Arial" w:cs="Arial"/>
                <w:sz w:val="22"/>
                <w:szCs w:val="22"/>
              </w:rPr>
              <w:t>;</w:t>
            </w:r>
            <w:r w:rsidR="004A01FD">
              <w:rPr>
                <w:rFonts w:ascii="Arial" w:hAnsi="Arial" w:cs="Arial"/>
                <w:sz w:val="22"/>
                <w:szCs w:val="22"/>
              </w:rPr>
              <w:t xml:space="preserve"> </w:t>
            </w:r>
            <w:r w:rsidR="000E30F7">
              <w:rPr>
                <w:rFonts w:ascii="Arial" w:hAnsi="Arial" w:cs="Arial"/>
                <w:sz w:val="22"/>
                <w:szCs w:val="22"/>
              </w:rPr>
              <w:t>research with healthy volunteers</w:t>
            </w:r>
            <w:r w:rsidR="00E7476F">
              <w:rPr>
                <w:rFonts w:ascii="Arial" w:hAnsi="Arial" w:cs="Arial"/>
                <w:sz w:val="22"/>
                <w:szCs w:val="22"/>
              </w:rPr>
              <w:t>;</w:t>
            </w:r>
            <w:r w:rsidR="000E30F7">
              <w:rPr>
                <w:rFonts w:ascii="Arial" w:hAnsi="Arial" w:cs="Arial"/>
                <w:sz w:val="22"/>
                <w:szCs w:val="22"/>
              </w:rPr>
              <w:t xml:space="preserve"> </w:t>
            </w:r>
            <w:r w:rsidR="00E7476F">
              <w:rPr>
                <w:rFonts w:ascii="Arial" w:hAnsi="Arial" w:cs="Arial"/>
                <w:sz w:val="22"/>
                <w:szCs w:val="22"/>
              </w:rPr>
              <w:t>research with</w:t>
            </w:r>
            <w:r w:rsidR="004A01FD">
              <w:rPr>
                <w:rFonts w:ascii="Arial" w:hAnsi="Arial" w:cs="Arial"/>
                <w:sz w:val="22"/>
                <w:szCs w:val="22"/>
              </w:rPr>
              <w:t xml:space="preserve"> stem cells</w:t>
            </w:r>
          </w:p>
        </w:tc>
        <w:tc>
          <w:tcPr>
            <w:tcW w:w="1519" w:type="dxa"/>
          </w:tcPr>
          <w:p w14:paraId="38A74B52" w14:textId="77777777" w:rsidR="002B7AD4" w:rsidRPr="002B7AD4" w:rsidRDefault="000E30F7" w:rsidP="00D61C17">
            <w:pPr>
              <w:rPr>
                <w:rFonts w:ascii="Arial" w:hAnsi="Arial" w:cs="Arial"/>
                <w:sz w:val="22"/>
                <w:szCs w:val="22"/>
              </w:rPr>
            </w:pPr>
            <w:r>
              <w:rPr>
                <w:rFonts w:ascii="Arial" w:hAnsi="Arial" w:cs="Arial"/>
                <w:sz w:val="22"/>
                <w:szCs w:val="22"/>
              </w:rPr>
              <w:t>2</w:t>
            </w:r>
            <w:r w:rsidR="00E7476F">
              <w:rPr>
                <w:rFonts w:ascii="Arial" w:hAnsi="Arial" w:cs="Arial"/>
                <w:sz w:val="22"/>
                <w:szCs w:val="22"/>
              </w:rPr>
              <w:t>3</w:t>
            </w:r>
            <w:r w:rsidR="00626EED">
              <w:rPr>
                <w:rFonts w:ascii="Arial" w:hAnsi="Arial" w:cs="Arial"/>
                <w:sz w:val="22"/>
                <w:szCs w:val="22"/>
              </w:rPr>
              <w:t>/</w:t>
            </w:r>
            <w:r>
              <w:rPr>
                <w:rFonts w:ascii="Arial" w:hAnsi="Arial" w:cs="Arial"/>
                <w:sz w:val="22"/>
                <w:szCs w:val="22"/>
              </w:rPr>
              <w:t>11</w:t>
            </w:r>
            <w:r w:rsidR="00626EED">
              <w:rPr>
                <w:rFonts w:ascii="Arial" w:hAnsi="Arial" w:cs="Arial"/>
                <w:sz w:val="22"/>
                <w:szCs w:val="22"/>
              </w:rPr>
              <w:t>/20</w:t>
            </w:r>
            <w:r>
              <w:rPr>
                <w:rFonts w:ascii="Arial" w:hAnsi="Arial" w:cs="Arial"/>
                <w:sz w:val="22"/>
                <w:szCs w:val="22"/>
              </w:rPr>
              <w:t>10</w:t>
            </w:r>
          </w:p>
        </w:tc>
      </w:tr>
      <w:tr w:rsidR="002B7AD4" w:rsidRPr="002B7AD4" w14:paraId="440D04D4" w14:textId="77777777" w:rsidTr="00D61C17">
        <w:tc>
          <w:tcPr>
            <w:tcW w:w="1384" w:type="dxa"/>
          </w:tcPr>
          <w:p w14:paraId="214E4ADE" w14:textId="77777777" w:rsidR="002B7AD4" w:rsidRPr="002B7AD4" w:rsidRDefault="008F6242" w:rsidP="00D61C17">
            <w:pPr>
              <w:rPr>
                <w:rFonts w:ascii="Arial" w:hAnsi="Arial" w:cs="Arial"/>
                <w:sz w:val="22"/>
                <w:szCs w:val="22"/>
              </w:rPr>
            </w:pPr>
            <w:r>
              <w:rPr>
                <w:rFonts w:ascii="Arial" w:hAnsi="Arial" w:cs="Arial"/>
                <w:sz w:val="22"/>
                <w:szCs w:val="22"/>
              </w:rPr>
              <w:t>4</w:t>
            </w:r>
          </w:p>
        </w:tc>
        <w:tc>
          <w:tcPr>
            <w:tcW w:w="5744" w:type="dxa"/>
          </w:tcPr>
          <w:p w14:paraId="539AFD31" w14:textId="77777777" w:rsidR="002B7AD4" w:rsidRPr="002B7AD4" w:rsidRDefault="008F6242" w:rsidP="00D61C17">
            <w:pPr>
              <w:rPr>
                <w:rFonts w:ascii="Arial" w:hAnsi="Arial" w:cs="Arial"/>
                <w:sz w:val="22"/>
                <w:szCs w:val="22"/>
              </w:rPr>
            </w:pPr>
            <w:r>
              <w:rPr>
                <w:rFonts w:ascii="Arial" w:hAnsi="Arial" w:cs="Arial"/>
                <w:sz w:val="22"/>
                <w:szCs w:val="22"/>
              </w:rPr>
              <w:t>Routine updates and addition of: Langford satellite site and regular compliance returns to the HTA</w:t>
            </w:r>
          </w:p>
        </w:tc>
        <w:tc>
          <w:tcPr>
            <w:tcW w:w="1519" w:type="dxa"/>
          </w:tcPr>
          <w:p w14:paraId="7BF012C5" w14:textId="79515898" w:rsidR="002B7AD4" w:rsidRPr="002B7AD4" w:rsidRDefault="006D4466" w:rsidP="00D61C17">
            <w:pPr>
              <w:rPr>
                <w:rFonts w:ascii="Arial" w:hAnsi="Arial" w:cs="Arial"/>
                <w:sz w:val="22"/>
                <w:szCs w:val="22"/>
              </w:rPr>
            </w:pPr>
            <w:r>
              <w:rPr>
                <w:rFonts w:ascii="Arial" w:hAnsi="Arial" w:cs="Arial"/>
                <w:sz w:val="22"/>
                <w:szCs w:val="22"/>
              </w:rPr>
              <w:t>21/05/</w:t>
            </w:r>
            <w:r w:rsidR="00F17451">
              <w:rPr>
                <w:rFonts w:ascii="Arial" w:hAnsi="Arial" w:cs="Arial"/>
                <w:sz w:val="22"/>
                <w:szCs w:val="22"/>
              </w:rPr>
              <w:t>20</w:t>
            </w:r>
            <w:r>
              <w:rPr>
                <w:rFonts w:ascii="Arial" w:hAnsi="Arial" w:cs="Arial"/>
                <w:sz w:val="22"/>
                <w:szCs w:val="22"/>
              </w:rPr>
              <w:t>12</w:t>
            </w:r>
          </w:p>
        </w:tc>
      </w:tr>
      <w:tr w:rsidR="005412A1" w:rsidRPr="002B7AD4" w14:paraId="7F07EDDB" w14:textId="77777777" w:rsidTr="00D61C17">
        <w:tc>
          <w:tcPr>
            <w:tcW w:w="1384" w:type="dxa"/>
          </w:tcPr>
          <w:p w14:paraId="427F1D32" w14:textId="77777777" w:rsidR="005412A1" w:rsidRDefault="005412A1" w:rsidP="00D61C17">
            <w:pPr>
              <w:rPr>
                <w:rFonts w:ascii="Arial" w:hAnsi="Arial" w:cs="Arial"/>
                <w:sz w:val="22"/>
                <w:szCs w:val="22"/>
              </w:rPr>
            </w:pPr>
            <w:r>
              <w:rPr>
                <w:rFonts w:ascii="Arial" w:hAnsi="Arial" w:cs="Arial"/>
                <w:sz w:val="22"/>
                <w:szCs w:val="22"/>
              </w:rPr>
              <w:t>5</w:t>
            </w:r>
          </w:p>
        </w:tc>
        <w:tc>
          <w:tcPr>
            <w:tcW w:w="5744" w:type="dxa"/>
          </w:tcPr>
          <w:p w14:paraId="218FDB63" w14:textId="77777777" w:rsidR="005412A1" w:rsidRDefault="005412A1" w:rsidP="00D61C17">
            <w:pPr>
              <w:rPr>
                <w:rFonts w:ascii="Arial" w:hAnsi="Arial" w:cs="Arial"/>
                <w:sz w:val="22"/>
                <w:szCs w:val="22"/>
              </w:rPr>
            </w:pPr>
            <w:r>
              <w:rPr>
                <w:rFonts w:ascii="Arial" w:hAnsi="Arial" w:cs="Arial"/>
                <w:sz w:val="22"/>
                <w:szCs w:val="22"/>
              </w:rPr>
              <w:t>Routine updates</w:t>
            </w:r>
            <w:r w:rsidR="00C22E6E">
              <w:rPr>
                <w:rFonts w:ascii="Arial" w:hAnsi="Arial" w:cs="Arial"/>
                <w:sz w:val="22"/>
                <w:szCs w:val="22"/>
              </w:rPr>
              <w:t>, clarifications</w:t>
            </w:r>
            <w:r>
              <w:rPr>
                <w:rFonts w:ascii="Arial" w:hAnsi="Arial" w:cs="Arial"/>
                <w:sz w:val="22"/>
                <w:szCs w:val="22"/>
              </w:rPr>
              <w:t xml:space="preserve"> and </w:t>
            </w:r>
            <w:r w:rsidR="00C22E6E">
              <w:rPr>
                <w:rFonts w:ascii="Arial" w:hAnsi="Arial" w:cs="Arial"/>
                <w:sz w:val="22"/>
                <w:szCs w:val="22"/>
              </w:rPr>
              <w:t xml:space="preserve">addition </w:t>
            </w:r>
            <w:proofErr w:type="gramStart"/>
            <w:r w:rsidR="00C22E6E">
              <w:rPr>
                <w:rFonts w:ascii="Arial" w:hAnsi="Arial" w:cs="Arial"/>
                <w:sz w:val="22"/>
                <w:szCs w:val="22"/>
              </w:rPr>
              <w:t>of:</w:t>
            </w:r>
            <w:proofErr w:type="gramEnd"/>
            <w:r w:rsidR="00C22E6E">
              <w:rPr>
                <w:rFonts w:ascii="Arial" w:hAnsi="Arial" w:cs="Arial"/>
                <w:sz w:val="22"/>
                <w:szCs w:val="22"/>
              </w:rPr>
              <w:t xml:space="preserve"> additional information on research involving Relevant Material, training and inclusion of health and safety information and training record form previously detailed in Induction pack</w:t>
            </w:r>
          </w:p>
        </w:tc>
        <w:tc>
          <w:tcPr>
            <w:tcW w:w="1519" w:type="dxa"/>
          </w:tcPr>
          <w:p w14:paraId="26E01EBD" w14:textId="3BB078AD" w:rsidR="005412A1" w:rsidRDefault="004262FB" w:rsidP="00D61C17">
            <w:pPr>
              <w:rPr>
                <w:rFonts w:ascii="Arial" w:hAnsi="Arial" w:cs="Arial"/>
                <w:sz w:val="22"/>
                <w:szCs w:val="22"/>
              </w:rPr>
            </w:pPr>
            <w:r>
              <w:rPr>
                <w:rFonts w:ascii="Arial" w:hAnsi="Arial" w:cs="Arial"/>
                <w:sz w:val="22"/>
                <w:szCs w:val="22"/>
              </w:rPr>
              <w:t>10/12/</w:t>
            </w:r>
            <w:r w:rsidR="00F17451">
              <w:rPr>
                <w:rFonts w:ascii="Arial" w:hAnsi="Arial" w:cs="Arial"/>
                <w:sz w:val="22"/>
                <w:szCs w:val="22"/>
              </w:rPr>
              <w:t>20</w:t>
            </w:r>
            <w:r>
              <w:rPr>
                <w:rFonts w:ascii="Arial" w:hAnsi="Arial" w:cs="Arial"/>
                <w:sz w:val="22"/>
                <w:szCs w:val="22"/>
              </w:rPr>
              <w:t>13</w:t>
            </w:r>
          </w:p>
        </w:tc>
      </w:tr>
      <w:tr w:rsidR="00D82490" w:rsidRPr="002B7AD4" w14:paraId="6A6ACF85" w14:textId="77777777" w:rsidTr="00D61C17">
        <w:tc>
          <w:tcPr>
            <w:tcW w:w="1384" w:type="dxa"/>
          </w:tcPr>
          <w:p w14:paraId="6E3CE969" w14:textId="77777777" w:rsidR="00D82490" w:rsidRDefault="00D82490" w:rsidP="00D61C17">
            <w:pPr>
              <w:rPr>
                <w:rFonts w:ascii="Arial" w:hAnsi="Arial" w:cs="Arial"/>
                <w:sz w:val="22"/>
                <w:szCs w:val="22"/>
              </w:rPr>
            </w:pPr>
            <w:r>
              <w:rPr>
                <w:rFonts w:ascii="Arial" w:hAnsi="Arial" w:cs="Arial"/>
                <w:sz w:val="22"/>
                <w:szCs w:val="22"/>
              </w:rPr>
              <w:t>6</w:t>
            </w:r>
          </w:p>
        </w:tc>
        <w:tc>
          <w:tcPr>
            <w:tcW w:w="5744" w:type="dxa"/>
          </w:tcPr>
          <w:p w14:paraId="31D34EEA" w14:textId="77777777" w:rsidR="00D82490" w:rsidRDefault="00A740BE" w:rsidP="00A740BE">
            <w:pPr>
              <w:rPr>
                <w:rFonts w:ascii="Arial" w:hAnsi="Arial" w:cs="Arial"/>
                <w:sz w:val="22"/>
                <w:szCs w:val="22"/>
              </w:rPr>
            </w:pPr>
            <w:r>
              <w:rPr>
                <w:rFonts w:ascii="Arial" w:hAnsi="Arial" w:cs="Arial"/>
                <w:sz w:val="22"/>
                <w:szCs w:val="22"/>
              </w:rPr>
              <w:t>Routine updates and clarifications. Restructure to create specific sections for working under HTA licence or HTA licencing exemption.</w:t>
            </w:r>
          </w:p>
        </w:tc>
        <w:tc>
          <w:tcPr>
            <w:tcW w:w="1519" w:type="dxa"/>
          </w:tcPr>
          <w:p w14:paraId="128744E5" w14:textId="6415A228" w:rsidR="00D82490" w:rsidRDefault="00A740BE" w:rsidP="00D61C17">
            <w:pPr>
              <w:rPr>
                <w:rFonts w:ascii="Arial" w:hAnsi="Arial" w:cs="Arial"/>
                <w:sz w:val="22"/>
                <w:szCs w:val="22"/>
              </w:rPr>
            </w:pPr>
            <w:r>
              <w:rPr>
                <w:rFonts w:ascii="Arial" w:hAnsi="Arial" w:cs="Arial"/>
                <w:sz w:val="22"/>
                <w:szCs w:val="22"/>
              </w:rPr>
              <w:t>24/4/</w:t>
            </w:r>
            <w:r w:rsidR="00F17451">
              <w:rPr>
                <w:rFonts w:ascii="Arial" w:hAnsi="Arial" w:cs="Arial"/>
                <w:sz w:val="22"/>
                <w:szCs w:val="22"/>
              </w:rPr>
              <w:t>20</w:t>
            </w:r>
            <w:r>
              <w:rPr>
                <w:rFonts w:ascii="Arial" w:hAnsi="Arial" w:cs="Arial"/>
                <w:sz w:val="22"/>
                <w:szCs w:val="22"/>
              </w:rPr>
              <w:t>15</w:t>
            </w:r>
          </w:p>
        </w:tc>
      </w:tr>
      <w:tr w:rsidR="002835FF" w:rsidRPr="002B7AD4" w14:paraId="4A4276D9" w14:textId="77777777" w:rsidTr="00D61C17">
        <w:tc>
          <w:tcPr>
            <w:tcW w:w="1384" w:type="dxa"/>
          </w:tcPr>
          <w:p w14:paraId="1EA8025A" w14:textId="77777777" w:rsidR="002835FF" w:rsidRDefault="002835FF" w:rsidP="00D61C17">
            <w:pPr>
              <w:rPr>
                <w:rFonts w:ascii="Arial" w:hAnsi="Arial" w:cs="Arial"/>
                <w:sz w:val="22"/>
                <w:szCs w:val="22"/>
              </w:rPr>
            </w:pPr>
            <w:r>
              <w:rPr>
                <w:rFonts w:ascii="Arial" w:hAnsi="Arial" w:cs="Arial"/>
                <w:sz w:val="22"/>
                <w:szCs w:val="22"/>
              </w:rPr>
              <w:t>7</w:t>
            </w:r>
          </w:p>
        </w:tc>
        <w:tc>
          <w:tcPr>
            <w:tcW w:w="5744" w:type="dxa"/>
          </w:tcPr>
          <w:p w14:paraId="2E6EF2CA" w14:textId="77777777" w:rsidR="002835FF" w:rsidRDefault="002360ED" w:rsidP="00A740BE">
            <w:pPr>
              <w:rPr>
                <w:rFonts w:ascii="Arial" w:hAnsi="Arial" w:cs="Arial"/>
                <w:sz w:val="22"/>
                <w:szCs w:val="22"/>
              </w:rPr>
            </w:pPr>
            <w:r>
              <w:rPr>
                <w:rFonts w:ascii="Arial" w:hAnsi="Arial" w:cs="Arial"/>
                <w:sz w:val="22"/>
                <w:szCs w:val="22"/>
              </w:rPr>
              <w:t>Inclusion of new HTA Codes of Practice (</w:t>
            </w:r>
            <w:proofErr w:type="spellStart"/>
            <w:r>
              <w:rPr>
                <w:rFonts w:ascii="Arial" w:hAnsi="Arial" w:cs="Arial"/>
                <w:sz w:val="22"/>
                <w:szCs w:val="22"/>
              </w:rPr>
              <w:t>wef</w:t>
            </w:r>
            <w:proofErr w:type="spellEnd"/>
            <w:r>
              <w:rPr>
                <w:rFonts w:ascii="Arial" w:hAnsi="Arial" w:cs="Arial"/>
                <w:sz w:val="22"/>
                <w:szCs w:val="22"/>
              </w:rPr>
              <w:t xml:space="preserve"> 3/4/17); routine updates; licence infrastructure changes</w:t>
            </w:r>
          </w:p>
        </w:tc>
        <w:tc>
          <w:tcPr>
            <w:tcW w:w="1519" w:type="dxa"/>
          </w:tcPr>
          <w:p w14:paraId="7164FCC8" w14:textId="2A826233" w:rsidR="002835FF" w:rsidRDefault="003D3B63" w:rsidP="00B315F0">
            <w:pPr>
              <w:rPr>
                <w:rFonts w:ascii="Arial" w:hAnsi="Arial" w:cs="Arial"/>
                <w:sz w:val="22"/>
                <w:szCs w:val="22"/>
              </w:rPr>
            </w:pPr>
            <w:r>
              <w:rPr>
                <w:rFonts w:ascii="Arial" w:hAnsi="Arial" w:cs="Arial"/>
                <w:sz w:val="22"/>
                <w:szCs w:val="22"/>
              </w:rPr>
              <w:t>29/3/</w:t>
            </w:r>
            <w:r w:rsidR="00F17451">
              <w:rPr>
                <w:rFonts w:ascii="Arial" w:hAnsi="Arial" w:cs="Arial"/>
                <w:sz w:val="22"/>
                <w:szCs w:val="22"/>
              </w:rPr>
              <w:t>20</w:t>
            </w:r>
            <w:r>
              <w:rPr>
                <w:rFonts w:ascii="Arial" w:hAnsi="Arial" w:cs="Arial"/>
                <w:sz w:val="22"/>
                <w:szCs w:val="22"/>
              </w:rPr>
              <w:t>1</w:t>
            </w:r>
            <w:r w:rsidR="002835FF">
              <w:rPr>
                <w:rFonts w:ascii="Arial" w:hAnsi="Arial" w:cs="Arial"/>
                <w:sz w:val="22"/>
                <w:szCs w:val="22"/>
              </w:rPr>
              <w:t>7</w:t>
            </w:r>
          </w:p>
        </w:tc>
      </w:tr>
      <w:tr w:rsidR="00AF40A6" w:rsidRPr="002B7AD4" w14:paraId="3085F287" w14:textId="77777777" w:rsidTr="00D61C17">
        <w:tc>
          <w:tcPr>
            <w:tcW w:w="1384" w:type="dxa"/>
          </w:tcPr>
          <w:p w14:paraId="3FC115A7" w14:textId="2789703D" w:rsidR="00AF40A6" w:rsidRDefault="00AF40A6" w:rsidP="00D61C17">
            <w:pPr>
              <w:rPr>
                <w:rFonts w:ascii="Arial" w:hAnsi="Arial" w:cs="Arial"/>
                <w:sz w:val="22"/>
                <w:szCs w:val="22"/>
              </w:rPr>
            </w:pPr>
            <w:r>
              <w:rPr>
                <w:rFonts w:ascii="Arial" w:hAnsi="Arial" w:cs="Arial"/>
                <w:sz w:val="22"/>
                <w:szCs w:val="22"/>
              </w:rPr>
              <w:t>8</w:t>
            </w:r>
          </w:p>
        </w:tc>
        <w:tc>
          <w:tcPr>
            <w:tcW w:w="5744" w:type="dxa"/>
          </w:tcPr>
          <w:p w14:paraId="6D686B2D" w14:textId="3FF2FE24" w:rsidR="00AF40A6" w:rsidRPr="00BE17DA" w:rsidRDefault="00DA65DB" w:rsidP="00A740BE">
            <w:pPr>
              <w:rPr>
                <w:rFonts w:ascii="Arial" w:hAnsi="Arial" w:cs="Arial"/>
                <w:sz w:val="22"/>
                <w:szCs w:val="22"/>
                <w:lang w:val="fr-FR"/>
              </w:rPr>
            </w:pPr>
            <w:r w:rsidRPr="00BE17DA">
              <w:rPr>
                <w:rFonts w:ascii="Arial" w:hAnsi="Arial" w:cs="Arial"/>
                <w:sz w:val="22"/>
                <w:szCs w:val="22"/>
                <w:lang w:val="fr-FR"/>
              </w:rPr>
              <w:t>Routine updates; licence infrastructure changes</w:t>
            </w:r>
          </w:p>
        </w:tc>
        <w:tc>
          <w:tcPr>
            <w:tcW w:w="1519" w:type="dxa"/>
          </w:tcPr>
          <w:p w14:paraId="59E49070" w14:textId="3B6731ED" w:rsidR="00AF40A6" w:rsidRDefault="000B63E6" w:rsidP="00B315F0">
            <w:pPr>
              <w:rPr>
                <w:rFonts w:ascii="Arial" w:hAnsi="Arial" w:cs="Arial"/>
                <w:sz w:val="22"/>
                <w:szCs w:val="22"/>
              </w:rPr>
            </w:pPr>
            <w:r>
              <w:rPr>
                <w:rFonts w:ascii="Arial" w:hAnsi="Arial" w:cs="Arial"/>
                <w:sz w:val="22"/>
                <w:szCs w:val="22"/>
              </w:rPr>
              <w:t>28</w:t>
            </w:r>
            <w:r w:rsidR="00DA65DB">
              <w:rPr>
                <w:rFonts w:ascii="Arial" w:hAnsi="Arial" w:cs="Arial"/>
                <w:sz w:val="22"/>
                <w:szCs w:val="22"/>
              </w:rPr>
              <w:t>/11/</w:t>
            </w:r>
            <w:r w:rsidR="00F17451">
              <w:rPr>
                <w:rFonts w:ascii="Arial" w:hAnsi="Arial" w:cs="Arial"/>
                <w:sz w:val="22"/>
                <w:szCs w:val="22"/>
              </w:rPr>
              <w:t>20</w:t>
            </w:r>
            <w:r w:rsidR="00DA65DB">
              <w:rPr>
                <w:rFonts w:ascii="Arial" w:hAnsi="Arial" w:cs="Arial"/>
                <w:sz w:val="22"/>
                <w:szCs w:val="22"/>
              </w:rPr>
              <w:t>19</w:t>
            </w:r>
          </w:p>
        </w:tc>
      </w:tr>
      <w:tr w:rsidR="00C202DF" w:rsidRPr="002B7AD4" w14:paraId="0445BF52" w14:textId="77777777" w:rsidTr="00D61C17">
        <w:tc>
          <w:tcPr>
            <w:tcW w:w="1384" w:type="dxa"/>
          </w:tcPr>
          <w:p w14:paraId="5423570F" w14:textId="02C9654A" w:rsidR="00C202DF" w:rsidRDefault="00C202DF" w:rsidP="00D61C17">
            <w:pPr>
              <w:rPr>
                <w:rFonts w:ascii="Arial" w:hAnsi="Arial" w:cs="Arial"/>
                <w:sz w:val="22"/>
                <w:szCs w:val="22"/>
              </w:rPr>
            </w:pPr>
            <w:r>
              <w:rPr>
                <w:rFonts w:ascii="Arial" w:hAnsi="Arial" w:cs="Arial"/>
                <w:sz w:val="22"/>
                <w:szCs w:val="22"/>
              </w:rPr>
              <w:t>9</w:t>
            </w:r>
          </w:p>
        </w:tc>
        <w:tc>
          <w:tcPr>
            <w:tcW w:w="5744" w:type="dxa"/>
          </w:tcPr>
          <w:p w14:paraId="6ACFAFF1" w14:textId="1C565184" w:rsidR="00C202DF" w:rsidRPr="00AD089D" w:rsidRDefault="00C202DF" w:rsidP="00A740BE">
            <w:pPr>
              <w:rPr>
                <w:rFonts w:ascii="Arial" w:hAnsi="Arial" w:cs="Arial"/>
                <w:sz w:val="22"/>
                <w:szCs w:val="22"/>
              </w:rPr>
            </w:pPr>
            <w:r w:rsidRPr="00AD089D">
              <w:rPr>
                <w:rFonts w:ascii="Arial" w:hAnsi="Arial" w:cs="Arial"/>
                <w:sz w:val="22"/>
                <w:szCs w:val="22"/>
              </w:rPr>
              <w:t>Routine updates</w:t>
            </w:r>
          </w:p>
        </w:tc>
        <w:tc>
          <w:tcPr>
            <w:tcW w:w="1519" w:type="dxa"/>
          </w:tcPr>
          <w:p w14:paraId="3C9D940E" w14:textId="32CC12EE" w:rsidR="00C202DF" w:rsidRDefault="008A57BF" w:rsidP="00B315F0">
            <w:pPr>
              <w:rPr>
                <w:rFonts w:ascii="Arial" w:hAnsi="Arial" w:cs="Arial"/>
                <w:sz w:val="22"/>
                <w:szCs w:val="22"/>
              </w:rPr>
            </w:pPr>
            <w:r>
              <w:rPr>
                <w:rFonts w:ascii="Arial" w:hAnsi="Arial" w:cs="Arial"/>
                <w:sz w:val="22"/>
                <w:szCs w:val="22"/>
              </w:rPr>
              <w:t>06/04/</w:t>
            </w:r>
            <w:r w:rsidR="00F17451">
              <w:rPr>
                <w:rFonts w:ascii="Arial" w:hAnsi="Arial" w:cs="Arial"/>
                <w:sz w:val="22"/>
                <w:szCs w:val="22"/>
              </w:rPr>
              <w:t>20</w:t>
            </w:r>
            <w:r>
              <w:rPr>
                <w:rFonts w:ascii="Arial" w:hAnsi="Arial" w:cs="Arial"/>
                <w:sz w:val="22"/>
                <w:szCs w:val="22"/>
              </w:rPr>
              <w:t>22</w:t>
            </w:r>
          </w:p>
        </w:tc>
      </w:tr>
    </w:tbl>
    <w:p w14:paraId="72D635C6" w14:textId="77777777" w:rsidR="00B52CFD" w:rsidRDefault="00B52CFD">
      <w:pPr>
        <w:jc w:val="both"/>
        <w:rPr>
          <w:rFonts w:ascii="Arial" w:hAnsi="Arial" w:cs="Arial"/>
          <w:sz w:val="22"/>
          <w:szCs w:val="22"/>
        </w:rPr>
      </w:pPr>
    </w:p>
    <w:p w14:paraId="25D16380" w14:textId="77777777" w:rsidR="0080791B" w:rsidRDefault="0080791B">
      <w:pPr>
        <w:rPr>
          <w:rFonts w:ascii="Arial" w:hAnsi="Arial" w:cs="Arial"/>
          <w:b/>
          <w:bCs/>
        </w:rPr>
      </w:pPr>
      <w:bookmarkStart w:id="20" w:name="_Toc417640714"/>
      <w:bookmarkStart w:id="21" w:name="_Toc417640768"/>
      <w:r>
        <w:br w:type="page"/>
      </w:r>
    </w:p>
    <w:p w14:paraId="29DB1E22" w14:textId="0C514BB0" w:rsidR="00B52CFD" w:rsidRPr="005D0531" w:rsidRDefault="00B52CFD" w:rsidP="005D0531">
      <w:pPr>
        <w:pStyle w:val="Heading1"/>
        <w:numPr>
          <w:ilvl w:val="0"/>
          <w:numId w:val="0"/>
        </w:numPr>
        <w:jc w:val="left"/>
      </w:pPr>
      <w:r w:rsidRPr="006B6615">
        <w:lastRenderedPageBreak/>
        <w:t>Annex A: Health and Safety guidance for working with Relevant Material</w:t>
      </w:r>
      <w:bookmarkEnd w:id="20"/>
      <w:bookmarkEnd w:id="21"/>
    </w:p>
    <w:p w14:paraId="561FB80C" w14:textId="77777777" w:rsidR="00B52CFD" w:rsidRDefault="00B52CFD" w:rsidP="00B52CFD">
      <w:pPr>
        <w:jc w:val="both"/>
        <w:rPr>
          <w:rFonts w:ascii="Arial" w:hAnsi="Arial" w:cs="Arial"/>
          <w:sz w:val="22"/>
          <w:szCs w:val="22"/>
        </w:rPr>
      </w:pPr>
    </w:p>
    <w:p w14:paraId="46A4201F" w14:textId="77777777" w:rsidR="00B85D31" w:rsidRPr="003D7FF0" w:rsidRDefault="00B85D31" w:rsidP="00B85D31">
      <w:pPr>
        <w:jc w:val="both"/>
        <w:rPr>
          <w:rFonts w:ascii="Arial" w:hAnsi="Arial" w:cs="Arial"/>
          <w:sz w:val="22"/>
          <w:szCs w:val="22"/>
        </w:rPr>
      </w:pPr>
      <w:r w:rsidRPr="003D7FF0">
        <w:rPr>
          <w:rFonts w:ascii="Arial" w:hAnsi="Arial" w:cs="Arial"/>
          <w:sz w:val="22"/>
          <w:szCs w:val="22"/>
        </w:rPr>
        <w:t>A wide range of biological materials are handled within the University and there is substantial variation in the types of hazards associated with them. University policy and guidance information sets out the systems in place for managing the risk from biological materials (</w:t>
      </w:r>
      <w:proofErr w:type="spellStart"/>
      <w:r w:rsidRPr="003D7FF0">
        <w:rPr>
          <w:rFonts w:ascii="Arial" w:hAnsi="Arial" w:cs="Arial"/>
          <w:sz w:val="22"/>
          <w:szCs w:val="22"/>
        </w:rPr>
        <w:t>biorisk</w:t>
      </w:r>
      <w:proofErr w:type="spellEnd"/>
      <w:r w:rsidRPr="003D7FF0">
        <w:rPr>
          <w:rFonts w:ascii="Arial" w:hAnsi="Arial" w:cs="Arial"/>
          <w:sz w:val="22"/>
          <w:szCs w:val="22"/>
        </w:rPr>
        <w:t xml:space="preserve">) when used in </w:t>
      </w:r>
      <w:proofErr w:type="gramStart"/>
      <w:r w:rsidRPr="003D7FF0">
        <w:rPr>
          <w:rFonts w:ascii="Arial" w:hAnsi="Arial" w:cs="Arial"/>
          <w:sz w:val="22"/>
          <w:szCs w:val="22"/>
        </w:rPr>
        <w:t>University</w:t>
      </w:r>
      <w:proofErr w:type="gramEnd"/>
      <w:r w:rsidRPr="003D7FF0">
        <w:rPr>
          <w:rFonts w:ascii="Arial" w:hAnsi="Arial" w:cs="Arial"/>
          <w:sz w:val="22"/>
          <w:szCs w:val="22"/>
        </w:rPr>
        <w:t xml:space="preserve"> activities. These cover human health and safety, environmental protection and biosecurity and describe your obligations when handling biological material. The University also requires that anyone working with biological material registers their details via the Safety and Health Services website (</w:t>
      </w:r>
      <w:r w:rsidRPr="00B85D31">
        <w:rPr>
          <w:rFonts w:ascii="Arial" w:hAnsi="Arial" w:cs="Arial"/>
          <w:sz w:val="22"/>
          <w:szCs w:val="22"/>
        </w:rPr>
        <w:t>http://www.bristol.ac.uk/safety/staff/biosafety/</w:t>
      </w:r>
      <w:r w:rsidRPr="003D7FF0">
        <w:rPr>
          <w:rFonts w:ascii="Arial" w:hAnsi="Arial" w:cs="Arial"/>
          <w:sz w:val="22"/>
          <w:szCs w:val="22"/>
        </w:rPr>
        <w:t>).</w:t>
      </w:r>
    </w:p>
    <w:p w14:paraId="6D010540" w14:textId="77777777" w:rsidR="00B52CFD" w:rsidRPr="003D7FF0" w:rsidRDefault="00B52CFD" w:rsidP="00B52CFD">
      <w:pPr>
        <w:jc w:val="both"/>
        <w:rPr>
          <w:rFonts w:ascii="Arial" w:hAnsi="Arial" w:cs="Arial"/>
          <w:sz w:val="22"/>
          <w:szCs w:val="22"/>
        </w:rPr>
      </w:pPr>
    </w:p>
    <w:p w14:paraId="49BB5A20" w14:textId="77777777" w:rsidR="00B85D31" w:rsidRPr="003D7FF0" w:rsidRDefault="00B85D31" w:rsidP="00B85D31">
      <w:pPr>
        <w:jc w:val="both"/>
        <w:rPr>
          <w:rFonts w:ascii="Arial" w:hAnsi="Arial" w:cs="Arial"/>
          <w:sz w:val="22"/>
          <w:szCs w:val="22"/>
        </w:rPr>
      </w:pPr>
      <w:r w:rsidRPr="36CDD369">
        <w:rPr>
          <w:rFonts w:ascii="Arial" w:hAnsi="Arial" w:cs="Arial"/>
          <w:sz w:val="22"/>
          <w:szCs w:val="22"/>
        </w:rPr>
        <w:t xml:space="preserve">One of the main factors to consider in your risk assessment before obtaining and then working with human tissue is that pathogens may be present in the material, because of the distribution of specific pathogens within the body and the likelihood that they will be present due to the health status of individual donors or the specific patient group, or because of endemic or pandemic disease where and when the samples are sourced. </w:t>
      </w:r>
    </w:p>
    <w:p w14:paraId="5B669C7A" w14:textId="147FECEE" w:rsidR="00B52CFD" w:rsidRDefault="00B52CFD" w:rsidP="00B52CFD">
      <w:pPr>
        <w:jc w:val="both"/>
        <w:rPr>
          <w:rFonts w:ascii="Arial" w:hAnsi="Arial" w:cs="Arial"/>
          <w:sz w:val="22"/>
          <w:szCs w:val="22"/>
        </w:rPr>
      </w:pPr>
    </w:p>
    <w:p w14:paraId="30E78B77" w14:textId="12DAA0DA" w:rsidR="00B85D31" w:rsidRDefault="00B85D31" w:rsidP="00B85D31">
      <w:pPr>
        <w:jc w:val="both"/>
        <w:rPr>
          <w:rFonts w:ascii="Arial" w:hAnsi="Arial" w:cs="Arial"/>
          <w:sz w:val="22"/>
          <w:szCs w:val="22"/>
        </w:rPr>
      </w:pPr>
      <w:r w:rsidRPr="36CDD369">
        <w:rPr>
          <w:rFonts w:ascii="Arial" w:hAnsi="Arial" w:cs="Arial"/>
          <w:sz w:val="22"/>
          <w:szCs w:val="22"/>
        </w:rPr>
        <w:t>All work involving primary human material must be undertaken at a minimum of containment level 2 (see box). Your risk assessment must determine whether this is sufficient or whether a higher level of containment or additional measures are required because of an increased exposure</w:t>
      </w:r>
      <w:r>
        <w:rPr>
          <w:rFonts w:ascii="Arial" w:hAnsi="Arial" w:cs="Arial"/>
          <w:sz w:val="22"/>
          <w:szCs w:val="22"/>
        </w:rPr>
        <w:t xml:space="preserve"> risk</w:t>
      </w:r>
      <w:r w:rsidRPr="36CDD369">
        <w:rPr>
          <w:rFonts w:ascii="Arial" w:hAnsi="Arial" w:cs="Arial"/>
          <w:sz w:val="22"/>
          <w:szCs w:val="22"/>
        </w:rPr>
        <w:t xml:space="preserve"> or more severe infection risk. Any national guidelines must also be considered. The University therefore requires that all risk assessments for work with human material are registered with the University Biological and Genetic Modification Safety Committee, which must review and agree with the outcome of the risk assessment before work can commence. Further details of this committee and these procedures can be found on the Safety and Health Services website and in University policies and guidance (</w:t>
      </w:r>
      <w:hyperlink r:id="rId52" w:history="1">
        <w:r w:rsidRPr="36CDD369">
          <w:rPr>
            <w:rStyle w:val="Hyperlink"/>
            <w:rFonts w:ascii="Arial" w:hAnsi="Arial" w:cs="Arial"/>
            <w:sz w:val="22"/>
            <w:szCs w:val="22"/>
          </w:rPr>
          <w:t>https://www.bristol.</w:t>
        </w:r>
        <w:r w:rsidRPr="36CDD369">
          <w:rPr>
            <w:rStyle w:val="Hyperlink"/>
            <w:rFonts w:ascii="Arial" w:hAnsi="Arial" w:cs="Arial"/>
            <w:sz w:val="22"/>
            <w:szCs w:val="22"/>
          </w:rPr>
          <w:t>a</w:t>
        </w:r>
        <w:r w:rsidRPr="36CDD369">
          <w:rPr>
            <w:rStyle w:val="Hyperlink"/>
            <w:rFonts w:ascii="Arial" w:hAnsi="Arial" w:cs="Arial"/>
            <w:sz w:val="22"/>
            <w:szCs w:val="22"/>
          </w:rPr>
          <w:t>c.uk/safety/staff/biosafety</w:t>
        </w:r>
        <w:r w:rsidRPr="36CDD369">
          <w:rPr>
            <w:rFonts w:ascii="Arial" w:hAnsi="Arial" w:cs="Arial"/>
            <w:sz w:val="22"/>
            <w:szCs w:val="22"/>
          </w:rPr>
          <w:t>).</w:t>
        </w:r>
        <w:hyperlink r:id="rId53" w:history="1"/>
      </w:hyperlink>
      <w:r w:rsidRPr="36CDD369">
        <w:rPr>
          <w:rFonts w:ascii="Arial" w:hAnsi="Arial" w:cs="Arial"/>
          <w:sz w:val="22"/>
          <w:szCs w:val="22"/>
        </w:rPr>
        <w:t xml:space="preserve"> The University Occupational Health Service website also has information on actions to take if an accidental exposure to a human pathogen is suspected (</w:t>
      </w:r>
      <w:hyperlink r:id="rId54" w:history="1">
        <w:r w:rsidRPr="36CDD369">
          <w:rPr>
            <w:rStyle w:val="Hyperlink"/>
            <w:rFonts w:ascii="Arial" w:hAnsi="Arial" w:cs="Arial"/>
            <w:sz w:val="22"/>
            <w:szCs w:val="22"/>
          </w:rPr>
          <w:t>http:/</w:t>
        </w:r>
        <w:r w:rsidRPr="36CDD369">
          <w:rPr>
            <w:rStyle w:val="Hyperlink"/>
            <w:rFonts w:ascii="Arial" w:hAnsi="Arial" w:cs="Arial"/>
            <w:sz w:val="22"/>
            <w:szCs w:val="22"/>
          </w:rPr>
          <w:t>/</w:t>
        </w:r>
        <w:r w:rsidRPr="36CDD369">
          <w:rPr>
            <w:rStyle w:val="Hyperlink"/>
            <w:rFonts w:ascii="Arial" w:hAnsi="Arial" w:cs="Arial"/>
            <w:sz w:val="22"/>
            <w:szCs w:val="22"/>
          </w:rPr>
          <w:t>www.bris.ac.uk/safety/occupational-health/contact/needlestick-hotline/</w:t>
        </w:r>
      </w:hyperlink>
      <w:r w:rsidRPr="36CDD369">
        <w:rPr>
          <w:rFonts w:ascii="Arial" w:hAnsi="Arial" w:cs="Arial"/>
          <w:sz w:val="22"/>
          <w:szCs w:val="22"/>
        </w:rPr>
        <w:t>).</w:t>
      </w:r>
    </w:p>
    <w:p w14:paraId="7E8C5CA8" w14:textId="0602D89E" w:rsidR="00B52CFD" w:rsidRPr="001E43BB" w:rsidRDefault="00B85D31" w:rsidP="00B52CFD">
      <w:pPr>
        <w:jc w:val="both"/>
        <w:rPr>
          <w:rFonts w:ascii="Arial" w:hAnsi="Arial" w:cs="Arial"/>
          <w:sz w:val="22"/>
          <w:szCs w:val="22"/>
        </w:rPr>
      </w:pPr>
      <w:r w:rsidRPr="00E82100">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363CCB03" wp14:editId="554512F9">
                <wp:simplePos x="0" y="0"/>
                <wp:positionH relativeFrom="column">
                  <wp:posOffset>0</wp:posOffset>
                </wp:positionH>
                <wp:positionV relativeFrom="paragraph">
                  <wp:posOffset>207645</wp:posOffset>
                </wp:positionV>
                <wp:extent cx="5210175" cy="1404620"/>
                <wp:effectExtent l="0" t="0" r="9525" b="76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solidFill>
                          <a:schemeClr val="bg1">
                            <a:lumMod val="95000"/>
                          </a:schemeClr>
                        </a:solidFill>
                        <a:ln w="9525">
                          <a:noFill/>
                          <a:miter lim="800000"/>
                          <a:headEnd/>
                          <a:tailEnd/>
                        </a:ln>
                      </wps:spPr>
                      <wps:txbx>
                        <w:txbxContent>
                          <w:p w14:paraId="343B747A" w14:textId="77777777" w:rsidR="00B85D31" w:rsidRPr="0019799E" w:rsidRDefault="00B85D31" w:rsidP="00B85D31">
                            <w:pPr>
                              <w:jc w:val="both"/>
                              <w:rPr>
                                <w:rFonts w:ascii="Arial" w:hAnsi="Arial" w:cs="Arial"/>
                                <w:sz w:val="20"/>
                                <w:szCs w:val="20"/>
                              </w:rPr>
                            </w:pPr>
                            <w:r w:rsidRPr="0019799E">
                              <w:rPr>
                                <w:rFonts w:ascii="Arial" w:hAnsi="Arial" w:cs="Arial"/>
                                <w:b/>
                                <w:bCs/>
                                <w:sz w:val="20"/>
                                <w:szCs w:val="20"/>
                              </w:rPr>
                              <w:t>Containment Levels</w:t>
                            </w:r>
                            <w:r w:rsidRPr="0019799E">
                              <w:rPr>
                                <w:rFonts w:ascii="Arial" w:hAnsi="Arial" w:cs="Arial"/>
                                <w:sz w:val="20"/>
                                <w:szCs w:val="20"/>
                              </w:rPr>
                              <w:t xml:space="preserve"> - work with biological materials is undertaken in containment laboratories and using good microbiological practice, occupational health, and hygiene. There are four levels of containment described in legislation and supporting guidance that are applied to laboratory design and operation in the UK (levels 1 to 4) with containment level 1 being the most basic and only suitable for work where it is certain that no pathogens will be </w:t>
                            </w:r>
                            <w:r>
                              <w:rPr>
                                <w:rFonts w:ascii="Arial" w:hAnsi="Arial" w:cs="Arial"/>
                                <w:sz w:val="20"/>
                                <w:szCs w:val="20"/>
                              </w:rPr>
                              <w:t>worked with</w:t>
                            </w:r>
                            <w:r w:rsidRPr="0019799E">
                              <w:rPr>
                                <w:rFonts w:ascii="Arial" w:hAnsi="Arial" w:cs="Arial"/>
                                <w:sz w:val="20"/>
                                <w:szCs w:val="20"/>
                              </w:rPr>
                              <w:t xml:space="preserve">. The level of containment required for a work activity is determined as part of the risk assessment process. Further information is available in </w:t>
                            </w:r>
                            <w:r>
                              <w:rPr>
                                <w:rFonts w:ascii="Arial" w:hAnsi="Arial" w:cs="Arial"/>
                                <w:sz w:val="20"/>
                                <w:szCs w:val="20"/>
                              </w:rPr>
                              <w:t xml:space="preserve">the guidance ‘Good </w:t>
                            </w:r>
                            <w:r w:rsidRPr="0019799E">
                              <w:rPr>
                                <w:rFonts w:ascii="Arial" w:hAnsi="Arial" w:cs="Arial"/>
                                <w:sz w:val="20"/>
                                <w:szCs w:val="20"/>
                              </w:rPr>
                              <w:t>microbiological practice and containment</w:t>
                            </w:r>
                            <w:r>
                              <w:rPr>
                                <w:rFonts w:ascii="Arial" w:hAnsi="Arial" w:cs="Arial"/>
                                <w:sz w:val="20"/>
                                <w:szCs w:val="20"/>
                              </w:rPr>
                              <w:t>’</w:t>
                            </w:r>
                            <w:r w:rsidRPr="0019799E">
                              <w:rPr>
                                <w:rFonts w:ascii="Arial" w:hAnsi="Arial" w:cs="Arial"/>
                                <w:sz w:val="20"/>
                                <w:szCs w:val="20"/>
                              </w:rPr>
                              <w:t xml:space="preserve"> from </w:t>
                            </w:r>
                            <w:hyperlink r:id="rId55" w:history="1">
                              <w:r w:rsidRPr="0019799E">
                                <w:rPr>
                                  <w:rStyle w:val="Hyperlink"/>
                                  <w:rFonts w:ascii="Arial" w:hAnsi="Arial" w:cs="Arial"/>
                                  <w:sz w:val="20"/>
                                  <w:szCs w:val="20"/>
                                </w:rPr>
                                <w:t>http://www.bris.ac.u</w:t>
                              </w:r>
                              <w:r w:rsidRPr="0019799E">
                                <w:rPr>
                                  <w:rStyle w:val="Hyperlink"/>
                                  <w:rFonts w:ascii="Arial" w:hAnsi="Arial" w:cs="Arial"/>
                                  <w:sz w:val="20"/>
                                  <w:szCs w:val="20"/>
                                </w:rPr>
                                <w:t>k</w:t>
                              </w:r>
                              <w:r w:rsidRPr="0019799E">
                                <w:rPr>
                                  <w:rStyle w:val="Hyperlink"/>
                                  <w:rFonts w:ascii="Arial" w:hAnsi="Arial" w:cs="Arial"/>
                                  <w:sz w:val="20"/>
                                  <w:szCs w:val="20"/>
                                </w:rPr>
                                <w:t>/safety/staff/biosafety/</w:t>
                              </w:r>
                            </w:hyperlink>
                            <w:r w:rsidRPr="0019799E">
                              <w:rPr>
                                <w:rFonts w:ascii="Arial" w:hAnsi="Arial" w:cs="Arial"/>
                                <w:sz w:val="20"/>
                                <w:szCs w:val="20"/>
                              </w:rPr>
                              <w:t>.</w:t>
                            </w:r>
                          </w:p>
                        </w:txbxContent>
                      </wps:txbx>
                      <wps:bodyPr rot="0" vert="horz" wrap="square" lIns="144000" tIns="144000" rIns="144000" bIns="14400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63CCB03" id="_x0000_t202" coordsize="21600,21600" o:spt="202" path="m,l,21600r21600,l21600,xe">
                <v:stroke joinstyle="miter"/>
                <v:path gradientshapeok="t" o:connecttype="rect"/>
              </v:shapetype>
              <v:shape id="Text Box 2" o:spid="_x0000_s1026" type="#_x0000_t202" style="position:absolute;left:0;text-align:left;margin-left:0;margin-top:16.35pt;width:41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" fillcolor="#f2f2f2 [3052]" stroked="f">
                <v:textbox style="mso-fit-shape-to-text:t" inset="4mm,4mm,4mm,4mm">
                  <w:txbxContent>
                    <w:p w14:paraId="343B747A" w14:textId="77777777" w:rsidR="00B85D31" w:rsidRPr="0019799E" w:rsidRDefault="00B85D31" w:rsidP="00B85D31">
                      <w:pPr>
                        <w:jc w:val="both"/>
                        <w:rPr>
                          <w:rFonts w:ascii="Arial" w:hAnsi="Arial" w:cs="Arial"/>
                          <w:sz w:val="20"/>
                          <w:szCs w:val="20"/>
                        </w:rPr>
                      </w:pPr>
                      <w:r w:rsidRPr="0019799E">
                        <w:rPr>
                          <w:rFonts w:ascii="Arial" w:hAnsi="Arial" w:cs="Arial"/>
                          <w:b/>
                          <w:bCs/>
                          <w:sz w:val="20"/>
                          <w:szCs w:val="20"/>
                        </w:rPr>
                        <w:t>Containment Levels</w:t>
                      </w:r>
                      <w:r w:rsidRPr="0019799E">
                        <w:rPr>
                          <w:rFonts w:ascii="Arial" w:hAnsi="Arial" w:cs="Arial"/>
                          <w:sz w:val="20"/>
                          <w:szCs w:val="20"/>
                        </w:rPr>
                        <w:t xml:space="preserve"> - work with biological materials is undertaken in containment laboratories and using good microbiological practice, occupational health, and hygiene. There are four levels of containment described in legislation and supporting guidance that are applied to laboratory design and operation in the UK (levels 1 to 4) with containment level 1 being the most basic and only suitable for work where it is certain that no pathogens will be </w:t>
                      </w:r>
                      <w:r>
                        <w:rPr>
                          <w:rFonts w:ascii="Arial" w:hAnsi="Arial" w:cs="Arial"/>
                          <w:sz w:val="20"/>
                          <w:szCs w:val="20"/>
                        </w:rPr>
                        <w:t>worked with</w:t>
                      </w:r>
                      <w:r w:rsidRPr="0019799E">
                        <w:rPr>
                          <w:rFonts w:ascii="Arial" w:hAnsi="Arial" w:cs="Arial"/>
                          <w:sz w:val="20"/>
                          <w:szCs w:val="20"/>
                        </w:rPr>
                        <w:t xml:space="preserve">. The level of containment required for a work activity is determined as part of the risk assessment process. Further information is available in </w:t>
                      </w:r>
                      <w:r>
                        <w:rPr>
                          <w:rFonts w:ascii="Arial" w:hAnsi="Arial" w:cs="Arial"/>
                          <w:sz w:val="20"/>
                          <w:szCs w:val="20"/>
                        </w:rPr>
                        <w:t xml:space="preserve">the guidance ‘Good </w:t>
                      </w:r>
                      <w:r w:rsidRPr="0019799E">
                        <w:rPr>
                          <w:rFonts w:ascii="Arial" w:hAnsi="Arial" w:cs="Arial"/>
                          <w:sz w:val="20"/>
                          <w:szCs w:val="20"/>
                        </w:rPr>
                        <w:t>microbiological practice and containment</w:t>
                      </w:r>
                      <w:r>
                        <w:rPr>
                          <w:rFonts w:ascii="Arial" w:hAnsi="Arial" w:cs="Arial"/>
                          <w:sz w:val="20"/>
                          <w:szCs w:val="20"/>
                        </w:rPr>
                        <w:t>’</w:t>
                      </w:r>
                      <w:r w:rsidRPr="0019799E">
                        <w:rPr>
                          <w:rFonts w:ascii="Arial" w:hAnsi="Arial" w:cs="Arial"/>
                          <w:sz w:val="20"/>
                          <w:szCs w:val="20"/>
                        </w:rPr>
                        <w:t xml:space="preserve"> from </w:t>
                      </w:r>
                      <w:hyperlink r:id="rId56" w:history="1">
                        <w:r w:rsidRPr="0019799E">
                          <w:rPr>
                            <w:rStyle w:val="Hyperlink"/>
                            <w:rFonts w:ascii="Arial" w:hAnsi="Arial" w:cs="Arial"/>
                            <w:sz w:val="20"/>
                            <w:szCs w:val="20"/>
                          </w:rPr>
                          <w:t>http://www.bris.ac.u</w:t>
                        </w:r>
                        <w:r w:rsidRPr="0019799E">
                          <w:rPr>
                            <w:rStyle w:val="Hyperlink"/>
                            <w:rFonts w:ascii="Arial" w:hAnsi="Arial" w:cs="Arial"/>
                            <w:sz w:val="20"/>
                            <w:szCs w:val="20"/>
                          </w:rPr>
                          <w:t>k</w:t>
                        </w:r>
                        <w:r w:rsidRPr="0019799E">
                          <w:rPr>
                            <w:rStyle w:val="Hyperlink"/>
                            <w:rFonts w:ascii="Arial" w:hAnsi="Arial" w:cs="Arial"/>
                            <w:sz w:val="20"/>
                            <w:szCs w:val="20"/>
                          </w:rPr>
                          <w:t>/safety/staff/biosafety/</w:t>
                        </w:r>
                      </w:hyperlink>
                      <w:r w:rsidRPr="0019799E">
                        <w:rPr>
                          <w:rFonts w:ascii="Arial" w:hAnsi="Arial" w:cs="Arial"/>
                          <w:sz w:val="20"/>
                          <w:szCs w:val="20"/>
                        </w:rPr>
                        <w:t>.</w:t>
                      </w:r>
                    </w:p>
                  </w:txbxContent>
                </v:textbox>
                <w10:wrap type="topAndBottom"/>
              </v:shape>
            </w:pict>
          </mc:Fallback>
        </mc:AlternateContent>
      </w:r>
    </w:p>
    <w:p w14:paraId="4177D357" w14:textId="77777777" w:rsidR="00B52CFD" w:rsidRPr="001E43BB" w:rsidRDefault="00B52CFD" w:rsidP="00B52CFD">
      <w:pPr>
        <w:jc w:val="both"/>
        <w:rPr>
          <w:rFonts w:ascii="Arial" w:hAnsi="Arial" w:cs="Arial"/>
          <w:sz w:val="22"/>
          <w:szCs w:val="22"/>
        </w:rPr>
      </w:pPr>
    </w:p>
    <w:p w14:paraId="2219F7FA" w14:textId="77777777" w:rsidR="00B85D31" w:rsidRPr="001E43BB" w:rsidRDefault="00B85D31" w:rsidP="00B85D31">
      <w:pPr>
        <w:jc w:val="both"/>
        <w:rPr>
          <w:rFonts w:ascii="Arial" w:hAnsi="Arial" w:cs="Arial"/>
          <w:b/>
          <w:sz w:val="22"/>
          <w:szCs w:val="22"/>
        </w:rPr>
      </w:pPr>
      <w:r w:rsidRPr="001E43BB">
        <w:rPr>
          <w:rFonts w:ascii="Arial" w:hAnsi="Arial" w:cs="Arial"/>
          <w:b/>
          <w:sz w:val="22"/>
          <w:szCs w:val="22"/>
        </w:rPr>
        <w:t>Health and Safety training and competence</w:t>
      </w:r>
    </w:p>
    <w:p w14:paraId="594AEAC4" w14:textId="2BA6B41A" w:rsidR="00B85D31" w:rsidRPr="001E43BB" w:rsidRDefault="00B85D31" w:rsidP="00B85D31">
      <w:pPr>
        <w:jc w:val="both"/>
        <w:rPr>
          <w:rFonts w:ascii="Arial" w:hAnsi="Arial" w:cs="Arial"/>
          <w:sz w:val="22"/>
          <w:szCs w:val="22"/>
        </w:rPr>
      </w:pPr>
      <w:r w:rsidRPr="36CDD369">
        <w:rPr>
          <w:rFonts w:ascii="Arial" w:hAnsi="Arial" w:cs="Arial"/>
          <w:sz w:val="22"/>
          <w:szCs w:val="22"/>
        </w:rPr>
        <w:t xml:space="preserve">Before you can undertake tasks involving biological material you must be competent to do so. Your line manager must identify the required knowledge and skills required and assess your competence against these. You must be provided with sufficient instruction, supervision, training, and refresher training to develop and maintain the range of skills you will require during your work. This is a continual process for everyone and should involve </w:t>
      </w:r>
      <w:r>
        <w:rPr>
          <w:rFonts w:ascii="Arial" w:hAnsi="Arial" w:cs="Arial"/>
          <w:sz w:val="22"/>
          <w:szCs w:val="22"/>
        </w:rPr>
        <w:t>frequent open conversations</w:t>
      </w:r>
      <w:r w:rsidRPr="36CDD369">
        <w:rPr>
          <w:rFonts w:ascii="Arial" w:hAnsi="Arial" w:cs="Arial"/>
          <w:sz w:val="22"/>
          <w:szCs w:val="22"/>
        </w:rPr>
        <w:t xml:space="preserve"> between you and your line manager to assess and identify on-going training needs. Online training modules are available to provide core training for people working with hazardous biological material. There are mandatory and optional modules depending on your work. </w:t>
      </w:r>
      <w:r>
        <w:rPr>
          <w:rFonts w:ascii="Arial" w:hAnsi="Arial" w:cs="Arial"/>
          <w:sz w:val="22"/>
          <w:szCs w:val="22"/>
        </w:rPr>
        <w:t xml:space="preserve">For example, </w:t>
      </w:r>
      <w:r w:rsidRPr="36CDD369">
        <w:rPr>
          <w:rFonts w:ascii="Arial" w:hAnsi="Arial" w:cs="Arial"/>
          <w:sz w:val="22"/>
          <w:szCs w:val="22"/>
        </w:rPr>
        <w:lastRenderedPageBreak/>
        <w:t xml:space="preserve">Module 1, Induction into </w:t>
      </w:r>
      <w:proofErr w:type="spellStart"/>
      <w:r w:rsidRPr="36CDD369">
        <w:rPr>
          <w:rFonts w:ascii="Arial" w:hAnsi="Arial" w:cs="Arial"/>
          <w:sz w:val="22"/>
          <w:szCs w:val="22"/>
        </w:rPr>
        <w:t>biorisk</w:t>
      </w:r>
      <w:proofErr w:type="spellEnd"/>
      <w:r w:rsidRPr="36CDD369">
        <w:rPr>
          <w:rFonts w:ascii="Arial" w:hAnsi="Arial" w:cs="Arial"/>
          <w:sz w:val="22"/>
          <w:szCs w:val="22"/>
        </w:rPr>
        <w:t xml:space="preserve"> management, is mandatory for anyone working with human material. Further information is available at </w:t>
      </w:r>
      <w:hyperlink r:id="rId57" w:history="1">
        <w:r w:rsidR="00D02E1F" w:rsidRPr="00CB3FE6">
          <w:rPr>
            <w:rStyle w:val="Hyperlink"/>
            <w:rFonts w:ascii="Arial" w:hAnsi="Arial" w:cs="Arial"/>
            <w:sz w:val="22"/>
            <w:szCs w:val="22"/>
          </w:rPr>
          <w:t>http://www</w:t>
        </w:r>
        <w:r w:rsidR="00D02E1F" w:rsidRPr="00CB3FE6">
          <w:rPr>
            <w:rStyle w:val="Hyperlink"/>
            <w:rFonts w:ascii="Arial" w:hAnsi="Arial" w:cs="Arial"/>
            <w:sz w:val="22"/>
            <w:szCs w:val="22"/>
          </w:rPr>
          <w:t>.</w:t>
        </w:r>
        <w:r w:rsidR="00D02E1F" w:rsidRPr="00CB3FE6">
          <w:rPr>
            <w:rStyle w:val="Hyperlink"/>
            <w:rFonts w:ascii="Arial" w:hAnsi="Arial" w:cs="Arial"/>
            <w:sz w:val="22"/>
            <w:szCs w:val="22"/>
          </w:rPr>
          <w:t>bristol.ac.uk/safety/staff/training/</w:t>
        </w:r>
      </w:hyperlink>
      <w:r w:rsidR="00D02E1F">
        <w:rPr>
          <w:rFonts w:ascii="Arial" w:hAnsi="Arial" w:cs="Arial"/>
          <w:sz w:val="22"/>
          <w:szCs w:val="22"/>
        </w:rPr>
        <w:t xml:space="preserve"> </w:t>
      </w:r>
    </w:p>
    <w:p w14:paraId="5572CD3F" w14:textId="77777777" w:rsidR="00B52CFD" w:rsidRPr="001E43BB" w:rsidRDefault="00B52CFD" w:rsidP="00B52CFD">
      <w:pPr>
        <w:jc w:val="both"/>
        <w:rPr>
          <w:rFonts w:ascii="Arial" w:hAnsi="Arial" w:cs="Arial"/>
          <w:sz w:val="22"/>
          <w:szCs w:val="22"/>
        </w:rPr>
      </w:pPr>
    </w:p>
    <w:p w14:paraId="320D0124" w14:textId="03A71D96" w:rsidR="00B85D31" w:rsidRPr="001E43BB" w:rsidRDefault="00B85D31" w:rsidP="00B85D31">
      <w:pPr>
        <w:jc w:val="both"/>
        <w:rPr>
          <w:rFonts w:ascii="Arial" w:hAnsi="Arial" w:cs="Arial"/>
          <w:sz w:val="22"/>
          <w:szCs w:val="22"/>
        </w:rPr>
      </w:pPr>
      <w:r w:rsidRPr="36CDD369">
        <w:rPr>
          <w:rFonts w:ascii="Arial" w:hAnsi="Arial" w:cs="Arial"/>
          <w:sz w:val="22"/>
          <w:szCs w:val="22"/>
        </w:rPr>
        <w:t>You will be required to be familiar with relevant documentation</w:t>
      </w:r>
      <w:r>
        <w:rPr>
          <w:rFonts w:ascii="Arial" w:hAnsi="Arial" w:cs="Arial"/>
          <w:sz w:val="22"/>
          <w:szCs w:val="22"/>
        </w:rPr>
        <w:t>,</w:t>
      </w:r>
      <w:r w:rsidRPr="36CDD369">
        <w:rPr>
          <w:rFonts w:ascii="Arial" w:hAnsi="Arial" w:cs="Arial"/>
          <w:sz w:val="22"/>
          <w:szCs w:val="22"/>
        </w:rPr>
        <w:t xml:space="preserve"> </w:t>
      </w:r>
      <w:r>
        <w:rPr>
          <w:rFonts w:ascii="Arial" w:hAnsi="Arial" w:cs="Arial"/>
          <w:sz w:val="22"/>
          <w:szCs w:val="22"/>
        </w:rPr>
        <w:t xml:space="preserve">such as </w:t>
      </w:r>
      <w:r w:rsidRPr="36CDD369">
        <w:rPr>
          <w:rFonts w:ascii="Arial" w:hAnsi="Arial" w:cs="Arial"/>
          <w:sz w:val="22"/>
          <w:szCs w:val="22"/>
        </w:rPr>
        <w:t>codes of practice, risk assessments</w:t>
      </w:r>
      <w:r>
        <w:rPr>
          <w:rFonts w:ascii="Arial" w:hAnsi="Arial" w:cs="Arial"/>
          <w:sz w:val="22"/>
          <w:szCs w:val="22"/>
        </w:rPr>
        <w:t xml:space="preserve"> and operating procedures, </w:t>
      </w:r>
      <w:r w:rsidRPr="36CDD369">
        <w:rPr>
          <w:rFonts w:ascii="Arial" w:hAnsi="Arial" w:cs="Arial"/>
          <w:sz w:val="22"/>
          <w:szCs w:val="22"/>
        </w:rPr>
        <w:t xml:space="preserve">and undergo the training relevant to your work. This will help ensure that you can carry out your work in a safe manner and, if appropriate, in accordance with the principles of the </w:t>
      </w:r>
      <w:r w:rsidR="00F12ECB">
        <w:rPr>
          <w:rFonts w:ascii="Arial" w:hAnsi="Arial" w:cs="Arial"/>
          <w:sz w:val="22"/>
          <w:szCs w:val="22"/>
        </w:rPr>
        <w:t>HT</w:t>
      </w:r>
      <w:r w:rsidRPr="36CDD369">
        <w:rPr>
          <w:rFonts w:ascii="Arial" w:hAnsi="Arial" w:cs="Arial"/>
          <w:sz w:val="22"/>
          <w:szCs w:val="22"/>
        </w:rPr>
        <w:t xml:space="preserve"> Act and the terms of any HTA licences that you will be working under. Training requirements will be determined by your supervisor and DI (if appropriate) considering University policy requirements, local risk assessments and HTA licence conditions. </w:t>
      </w:r>
    </w:p>
    <w:p w14:paraId="37F1904E" w14:textId="77777777" w:rsidR="00B85D31" w:rsidRPr="001E43BB" w:rsidRDefault="00B85D31" w:rsidP="00B85D31">
      <w:pPr>
        <w:jc w:val="both"/>
        <w:rPr>
          <w:rFonts w:ascii="Arial" w:hAnsi="Arial" w:cs="Arial"/>
          <w:sz w:val="22"/>
          <w:szCs w:val="22"/>
        </w:rPr>
      </w:pPr>
    </w:p>
    <w:p w14:paraId="4939CC17" w14:textId="77777777" w:rsidR="00B85D31" w:rsidRPr="001E43BB" w:rsidRDefault="00B85D31" w:rsidP="00B85D31">
      <w:pPr>
        <w:jc w:val="both"/>
        <w:rPr>
          <w:rFonts w:ascii="Arial" w:hAnsi="Arial" w:cs="Arial"/>
          <w:sz w:val="22"/>
          <w:szCs w:val="22"/>
        </w:rPr>
      </w:pPr>
      <w:r w:rsidRPr="001E43BB">
        <w:rPr>
          <w:rFonts w:ascii="Arial" w:hAnsi="Arial" w:cs="Arial"/>
          <w:sz w:val="22"/>
          <w:szCs w:val="22"/>
        </w:rPr>
        <w:t xml:space="preserve">A checklist or similar document </w:t>
      </w:r>
      <w:r>
        <w:rPr>
          <w:rFonts w:ascii="Arial" w:hAnsi="Arial" w:cs="Arial"/>
          <w:sz w:val="22"/>
          <w:szCs w:val="22"/>
        </w:rPr>
        <w:t xml:space="preserve">(example in Annex B) </w:t>
      </w:r>
      <w:r w:rsidRPr="001E43BB">
        <w:rPr>
          <w:rFonts w:ascii="Arial" w:hAnsi="Arial" w:cs="Arial"/>
          <w:sz w:val="22"/>
          <w:szCs w:val="22"/>
        </w:rPr>
        <w:t xml:space="preserve">should be used to ensure that the competency requirements are being assessed and met and this should be maintained as part of your overall training record. This record may be requested during </w:t>
      </w:r>
      <w:proofErr w:type="gramStart"/>
      <w:r w:rsidRPr="001E43BB">
        <w:rPr>
          <w:rFonts w:ascii="Arial" w:hAnsi="Arial" w:cs="Arial"/>
          <w:sz w:val="22"/>
          <w:szCs w:val="22"/>
        </w:rPr>
        <w:t>University</w:t>
      </w:r>
      <w:proofErr w:type="gramEnd"/>
      <w:r w:rsidRPr="001E43BB">
        <w:rPr>
          <w:rFonts w:ascii="Arial" w:hAnsi="Arial" w:cs="Arial"/>
          <w:sz w:val="22"/>
          <w:szCs w:val="22"/>
        </w:rPr>
        <w:t xml:space="preserve"> audits of your work or facilities or during inspections by external regulatory authorities </w:t>
      </w:r>
      <w:r>
        <w:rPr>
          <w:rFonts w:ascii="Arial" w:hAnsi="Arial" w:cs="Arial"/>
          <w:sz w:val="22"/>
          <w:szCs w:val="22"/>
        </w:rPr>
        <w:t>such as the</w:t>
      </w:r>
      <w:r w:rsidRPr="001E43BB">
        <w:rPr>
          <w:rFonts w:ascii="Arial" w:hAnsi="Arial" w:cs="Arial"/>
          <w:sz w:val="22"/>
          <w:szCs w:val="22"/>
        </w:rPr>
        <w:t xml:space="preserve"> Human Tissue Authority</w:t>
      </w:r>
      <w:r>
        <w:rPr>
          <w:rFonts w:ascii="Arial" w:hAnsi="Arial" w:cs="Arial"/>
          <w:sz w:val="22"/>
          <w:szCs w:val="22"/>
        </w:rPr>
        <w:t xml:space="preserve"> or </w:t>
      </w:r>
      <w:r w:rsidRPr="001E43BB">
        <w:rPr>
          <w:rFonts w:ascii="Arial" w:hAnsi="Arial" w:cs="Arial"/>
          <w:sz w:val="22"/>
          <w:szCs w:val="22"/>
        </w:rPr>
        <w:t>Health and Safety Executive.</w:t>
      </w:r>
    </w:p>
    <w:p w14:paraId="58818868" w14:textId="77777777" w:rsidR="00E6560B" w:rsidRDefault="00E6560B">
      <w:pPr>
        <w:jc w:val="both"/>
        <w:rPr>
          <w:rFonts w:ascii="Arial" w:hAnsi="Arial" w:cs="Arial"/>
          <w:sz w:val="22"/>
          <w:szCs w:val="22"/>
        </w:rPr>
        <w:sectPr w:rsidR="00E6560B" w:rsidSect="0046571B">
          <w:headerReference w:type="even" r:id="rId58"/>
          <w:headerReference w:type="default" r:id="rId59"/>
          <w:footerReference w:type="even" r:id="rId60"/>
          <w:footerReference w:type="default" r:id="rId61"/>
          <w:headerReference w:type="first" r:id="rId62"/>
          <w:footerReference w:type="first" r:id="rId63"/>
          <w:pgSz w:w="11906" w:h="16838"/>
          <w:pgMar w:top="1440" w:right="1800" w:bottom="1440" w:left="1800" w:header="708" w:footer="708" w:gutter="0"/>
          <w:cols w:space="708"/>
          <w:docGrid w:linePitch="360"/>
        </w:sectPr>
      </w:pPr>
    </w:p>
    <w:tbl>
      <w:tblPr>
        <w:tblStyle w:val="TableGrid"/>
        <w:tblpPr w:leftFromText="180" w:rightFromText="180" w:vertAnchor="text" w:horzAnchor="margin" w:tblpY="2124"/>
        <w:tblW w:w="5000" w:type="pct"/>
        <w:tblLook w:val="04A0" w:firstRow="1" w:lastRow="0" w:firstColumn="1" w:lastColumn="0" w:noHBand="0" w:noVBand="1"/>
      </w:tblPr>
      <w:tblGrid>
        <w:gridCol w:w="3732"/>
        <w:gridCol w:w="1813"/>
        <w:gridCol w:w="5161"/>
        <w:gridCol w:w="3242"/>
      </w:tblGrid>
      <w:tr w:rsidR="00E6560B" w14:paraId="60945621" w14:textId="77777777" w:rsidTr="005D36DB">
        <w:tc>
          <w:tcPr>
            <w:tcW w:w="1338" w:type="pct"/>
            <w:shd w:val="clear" w:color="auto" w:fill="EEECE1" w:themeFill="background2"/>
            <w:vAlign w:val="center"/>
          </w:tcPr>
          <w:p w14:paraId="7C5AEC4C" w14:textId="77777777" w:rsidR="00E6560B" w:rsidRPr="00417E8E" w:rsidRDefault="00E6560B" w:rsidP="005D36DB">
            <w:pPr>
              <w:rPr>
                <w:sz w:val="22"/>
                <w:szCs w:val="22"/>
              </w:rPr>
            </w:pPr>
            <w:r>
              <w:rPr>
                <w:sz w:val="22"/>
                <w:szCs w:val="22"/>
              </w:rPr>
              <w:lastRenderedPageBreak/>
              <w:t>R</w:t>
            </w:r>
            <w:r w:rsidRPr="00417E8E">
              <w:rPr>
                <w:sz w:val="22"/>
                <w:szCs w:val="22"/>
              </w:rPr>
              <w:t>ecord for (name)</w:t>
            </w:r>
          </w:p>
        </w:tc>
        <w:tc>
          <w:tcPr>
            <w:tcW w:w="650" w:type="pct"/>
            <w:shd w:val="clear" w:color="auto" w:fill="EEECE1" w:themeFill="background2"/>
            <w:vAlign w:val="center"/>
          </w:tcPr>
          <w:p w14:paraId="47281CBD" w14:textId="77777777" w:rsidR="00E6560B" w:rsidRPr="00417E8E" w:rsidRDefault="00E6560B" w:rsidP="005D36DB">
            <w:pPr>
              <w:rPr>
                <w:sz w:val="22"/>
                <w:szCs w:val="22"/>
              </w:rPr>
            </w:pPr>
            <w:r w:rsidRPr="00417E8E">
              <w:rPr>
                <w:sz w:val="22"/>
                <w:szCs w:val="22"/>
              </w:rPr>
              <w:t>BGMSC worker registration #</w:t>
            </w:r>
          </w:p>
        </w:tc>
        <w:tc>
          <w:tcPr>
            <w:tcW w:w="1850" w:type="pct"/>
            <w:shd w:val="clear" w:color="auto" w:fill="EEECE1" w:themeFill="background2"/>
            <w:vAlign w:val="center"/>
          </w:tcPr>
          <w:p w14:paraId="68E365AF" w14:textId="77777777" w:rsidR="00E6560B" w:rsidRPr="00417E8E" w:rsidRDefault="00E6560B" w:rsidP="005D36DB">
            <w:pPr>
              <w:rPr>
                <w:sz w:val="22"/>
                <w:szCs w:val="22"/>
              </w:rPr>
            </w:pPr>
            <w:r>
              <w:rPr>
                <w:sz w:val="22"/>
                <w:szCs w:val="22"/>
              </w:rPr>
              <w:t>A</w:t>
            </w:r>
            <w:r w:rsidRPr="00417E8E">
              <w:rPr>
                <w:sz w:val="22"/>
                <w:szCs w:val="22"/>
              </w:rPr>
              <w:t>ctivity (or activities)</w:t>
            </w:r>
          </w:p>
        </w:tc>
        <w:tc>
          <w:tcPr>
            <w:tcW w:w="1162" w:type="pct"/>
            <w:shd w:val="clear" w:color="auto" w:fill="EEECE1" w:themeFill="background2"/>
            <w:vAlign w:val="center"/>
          </w:tcPr>
          <w:p w14:paraId="76C0E168" w14:textId="77777777" w:rsidR="00E6560B" w:rsidRPr="00417E8E" w:rsidRDefault="00E6560B" w:rsidP="005D36DB">
            <w:pPr>
              <w:rPr>
                <w:sz w:val="22"/>
                <w:szCs w:val="22"/>
              </w:rPr>
            </w:pPr>
            <w:r w:rsidRPr="00417E8E">
              <w:rPr>
                <w:sz w:val="22"/>
                <w:szCs w:val="22"/>
              </w:rPr>
              <w:t>Supervisor(s)</w:t>
            </w:r>
            <w:r>
              <w:rPr>
                <w:sz w:val="22"/>
                <w:szCs w:val="22"/>
              </w:rPr>
              <w:t xml:space="preserve"> and DI</w:t>
            </w:r>
          </w:p>
        </w:tc>
      </w:tr>
      <w:tr w:rsidR="00E6560B" w14:paraId="0475AC41" w14:textId="77777777" w:rsidTr="005D36DB">
        <w:tc>
          <w:tcPr>
            <w:tcW w:w="1338" w:type="pct"/>
          </w:tcPr>
          <w:p w14:paraId="35B919DD" w14:textId="77777777" w:rsidR="00E6560B" w:rsidRDefault="00E6560B" w:rsidP="005D36DB"/>
        </w:tc>
        <w:tc>
          <w:tcPr>
            <w:tcW w:w="650" w:type="pct"/>
          </w:tcPr>
          <w:p w14:paraId="19220004" w14:textId="77777777" w:rsidR="00E6560B" w:rsidRDefault="00E6560B" w:rsidP="005D36DB"/>
        </w:tc>
        <w:tc>
          <w:tcPr>
            <w:tcW w:w="1850" w:type="pct"/>
          </w:tcPr>
          <w:p w14:paraId="48674CEE" w14:textId="77777777" w:rsidR="00E6560B" w:rsidRDefault="00E6560B" w:rsidP="005D36DB"/>
        </w:tc>
        <w:tc>
          <w:tcPr>
            <w:tcW w:w="1162" w:type="pct"/>
          </w:tcPr>
          <w:p w14:paraId="3DFF1822" w14:textId="77777777" w:rsidR="00E6560B" w:rsidRDefault="00E6560B" w:rsidP="005D36DB"/>
          <w:p w14:paraId="7E4DA9BD" w14:textId="77777777" w:rsidR="00E6560B" w:rsidRDefault="00E6560B" w:rsidP="005D36DB"/>
        </w:tc>
      </w:tr>
    </w:tbl>
    <w:p w14:paraId="315DDF01" w14:textId="77777777" w:rsidR="005D0531" w:rsidRPr="00A81D41" w:rsidRDefault="005D0531" w:rsidP="005D0531">
      <w:pPr>
        <w:pStyle w:val="Heading1"/>
        <w:numPr>
          <w:ilvl w:val="0"/>
          <w:numId w:val="0"/>
        </w:numPr>
      </w:pPr>
      <w:bookmarkStart w:id="22" w:name="_Toc417640715"/>
      <w:bookmarkStart w:id="23" w:name="_Toc417640769"/>
      <w:r>
        <w:t xml:space="preserve">Annex B: </w:t>
      </w:r>
      <w:r w:rsidRPr="00A81D41">
        <w:t>Competency and training record</w:t>
      </w:r>
      <w:bookmarkEnd w:id="22"/>
      <w:bookmarkEnd w:id="23"/>
    </w:p>
    <w:p w14:paraId="7940F556" w14:textId="77777777" w:rsidR="005D0531" w:rsidRDefault="005D0531" w:rsidP="00E6560B">
      <w:pPr>
        <w:rPr>
          <w:sz w:val="20"/>
          <w:szCs w:val="20"/>
        </w:rPr>
      </w:pPr>
    </w:p>
    <w:p w14:paraId="4C10EB7D" w14:textId="77777777" w:rsidR="00E6560B" w:rsidRPr="00756DD3" w:rsidRDefault="00E6560B" w:rsidP="00E6560B">
      <w:pPr>
        <w:rPr>
          <w:sz w:val="20"/>
          <w:szCs w:val="20"/>
        </w:rPr>
      </w:pPr>
      <w:r w:rsidRPr="00756DD3">
        <w:rPr>
          <w:sz w:val="20"/>
          <w:szCs w:val="20"/>
        </w:rPr>
        <w:t xml:space="preserve">The following </w:t>
      </w:r>
      <w:r>
        <w:rPr>
          <w:sz w:val="20"/>
          <w:szCs w:val="20"/>
        </w:rPr>
        <w:t>template</w:t>
      </w:r>
      <w:r w:rsidRPr="00756DD3">
        <w:rPr>
          <w:sz w:val="20"/>
          <w:szCs w:val="20"/>
        </w:rPr>
        <w:t xml:space="preserve"> should be </w:t>
      </w:r>
      <w:r>
        <w:rPr>
          <w:sz w:val="20"/>
          <w:szCs w:val="20"/>
        </w:rPr>
        <w:t>amended as required and maintained</w:t>
      </w:r>
      <w:r w:rsidRPr="00756DD3">
        <w:rPr>
          <w:sz w:val="20"/>
          <w:szCs w:val="20"/>
        </w:rPr>
        <w:t xml:space="preserve"> by the </w:t>
      </w:r>
      <w:r>
        <w:rPr>
          <w:sz w:val="20"/>
          <w:szCs w:val="20"/>
        </w:rPr>
        <w:t>p</w:t>
      </w:r>
      <w:r w:rsidRPr="00756DD3">
        <w:rPr>
          <w:sz w:val="20"/>
          <w:szCs w:val="20"/>
        </w:rPr>
        <w:t>rincip</w:t>
      </w:r>
      <w:r>
        <w:rPr>
          <w:sz w:val="20"/>
          <w:szCs w:val="20"/>
        </w:rPr>
        <w:t>al</w:t>
      </w:r>
      <w:r w:rsidRPr="00756DD3">
        <w:rPr>
          <w:sz w:val="20"/>
          <w:szCs w:val="20"/>
        </w:rPr>
        <w:t xml:space="preserve"> </w:t>
      </w:r>
      <w:r>
        <w:rPr>
          <w:sz w:val="20"/>
          <w:szCs w:val="20"/>
        </w:rPr>
        <w:t>i</w:t>
      </w:r>
      <w:r w:rsidRPr="00756DD3">
        <w:rPr>
          <w:sz w:val="20"/>
          <w:szCs w:val="20"/>
        </w:rPr>
        <w:t>nvestigator/</w:t>
      </w:r>
      <w:r>
        <w:rPr>
          <w:sz w:val="20"/>
          <w:szCs w:val="20"/>
        </w:rPr>
        <w:t>s</w:t>
      </w:r>
      <w:r w:rsidRPr="00756DD3">
        <w:rPr>
          <w:sz w:val="20"/>
          <w:szCs w:val="20"/>
        </w:rPr>
        <w:t xml:space="preserve">upervisor for the </w:t>
      </w:r>
      <w:r>
        <w:rPr>
          <w:sz w:val="20"/>
          <w:szCs w:val="20"/>
        </w:rPr>
        <w:t>activity and be readily available for consultation by all parties and inspectors.</w:t>
      </w:r>
      <w:r w:rsidRPr="00756DD3">
        <w:rPr>
          <w:sz w:val="20"/>
          <w:szCs w:val="20"/>
        </w:rPr>
        <w:t xml:space="preserve"> The </w:t>
      </w:r>
      <w:r>
        <w:rPr>
          <w:sz w:val="20"/>
          <w:szCs w:val="20"/>
        </w:rPr>
        <w:t xml:space="preserve">record should show initial capabilities, confirm the skills attained and practical tasks that can be undertaken with the level of supervision required stated where necessary. Some practical tasks may not be undertaken by </w:t>
      </w:r>
      <w:proofErr w:type="gramStart"/>
      <w:r>
        <w:rPr>
          <w:sz w:val="20"/>
          <w:szCs w:val="20"/>
        </w:rPr>
        <w:t>everyone</w:t>
      </w:r>
      <w:proofErr w:type="gramEnd"/>
      <w:r>
        <w:rPr>
          <w:sz w:val="20"/>
          <w:szCs w:val="20"/>
        </w:rPr>
        <w:t xml:space="preserve"> and s</w:t>
      </w:r>
      <w:r w:rsidRPr="00756DD3">
        <w:rPr>
          <w:sz w:val="20"/>
          <w:szCs w:val="20"/>
        </w:rPr>
        <w:t xml:space="preserve">ome knowledge may </w:t>
      </w:r>
      <w:r>
        <w:rPr>
          <w:sz w:val="20"/>
          <w:szCs w:val="20"/>
        </w:rPr>
        <w:t xml:space="preserve">also </w:t>
      </w:r>
      <w:r w:rsidRPr="00756DD3">
        <w:rPr>
          <w:sz w:val="20"/>
          <w:szCs w:val="20"/>
        </w:rPr>
        <w:t xml:space="preserve">be acquired </w:t>
      </w:r>
      <w:r>
        <w:rPr>
          <w:sz w:val="20"/>
          <w:szCs w:val="20"/>
        </w:rPr>
        <w:t>concurrently</w:t>
      </w:r>
      <w:r w:rsidRPr="00756DD3">
        <w:rPr>
          <w:sz w:val="20"/>
          <w:szCs w:val="20"/>
        </w:rPr>
        <w:t xml:space="preserve"> (e.g. </w:t>
      </w:r>
      <w:r>
        <w:rPr>
          <w:sz w:val="20"/>
          <w:szCs w:val="20"/>
        </w:rPr>
        <w:t>s</w:t>
      </w:r>
      <w:r w:rsidRPr="00756DD3">
        <w:rPr>
          <w:sz w:val="20"/>
          <w:szCs w:val="20"/>
        </w:rPr>
        <w:t>chool induction may include reference to safety responsibilities</w:t>
      </w:r>
      <w:r>
        <w:rPr>
          <w:sz w:val="20"/>
          <w:szCs w:val="20"/>
        </w:rPr>
        <w:t>; risk assessments will contain hazard information for micro-organisms etc.). This information should be</w:t>
      </w:r>
      <w:r w:rsidRPr="00756DD3">
        <w:rPr>
          <w:sz w:val="20"/>
          <w:szCs w:val="20"/>
        </w:rPr>
        <w:t xml:space="preserve"> re</w:t>
      </w:r>
      <w:r>
        <w:rPr>
          <w:sz w:val="20"/>
          <w:szCs w:val="20"/>
        </w:rPr>
        <w:t>flected here</w:t>
      </w:r>
      <w:r w:rsidRPr="00756DD3">
        <w:rPr>
          <w:sz w:val="20"/>
          <w:szCs w:val="20"/>
        </w:rPr>
        <w:t xml:space="preserve">. </w:t>
      </w:r>
      <w:r>
        <w:rPr>
          <w:sz w:val="20"/>
          <w:szCs w:val="20"/>
        </w:rPr>
        <w:t>T</w:t>
      </w:r>
      <w:r w:rsidRPr="00756DD3">
        <w:rPr>
          <w:sz w:val="20"/>
          <w:szCs w:val="20"/>
        </w:rPr>
        <w:t>h</w:t>
      </w:r>
      <w:r>
        <w:rPr>
          <w:sz w:val="20"/>
          <w:szCs w:val="20"/>
        </w:rPr>
        <w:t>is</w:t>
      </w:r>
      <w:r w:rsidRPr="00756DD3">
        <w:rPr>
          <w:sz w:val="20"/>
          <w:szCs w:val="20"/>
        </w:rPr>
        <w:t xml:space="preserve"> document</w:t>
      </w:r>
      <w:r>
        <w:rPr>
          <w:sz w:val="20"/>
          <w:szCs w:val="20"/>
        </w:rPr>
        <w:t xml:space="preserve"> should be</w:t>
      </w:r>
      <w:r w:rsidRPr="00756DD3">
        <w:rPr>
          <w:sz w:val="20"/>
          <w:szCs w:val="20"/>
        </w:rPr>
        <w:t xml:space="preserve"> reviewed and updated a</w:t>
      </w:r>
      <w:r>
        <w:rPr>
          <w:sz w:val="20"/>
          <w:szCs w:val="20"/>
        </w:rPr>
        <w:t>s competencies are acquired and as part of an annual staff/student appraisal process. A copy of the document should be given to the individual if they leave the laboratory and a copy also retained by the principal investigator for future reference.</w:t>
      </w:r>
    </w:p>
    <w:tbl>
      <w:tblPr>
        <w:tblStyle w:val="TableGrid"/>
        <w:tblW w:w="5000" w:type="pct"/>
        <w:tblLook w:val="04A0" w:firstRow="1" w:lastRow="0" w:firstColumn="1" w:lastColumn="0" w:noHBand="0" w:noVBand="1"/>
      </w:tblPr>
      <w:tblGrid>
        <w:gridCol w:w="2249"/>
        <w:gridCol w:w="3727"/>
        <w:gridCol w:w="2505"/>
        <w:gridCol w:w="1953"/>
        <w:gridCol w:w="2089"/>
        <w:gridCol w:w="1425"/>
      </w:tblGrid>
      <w:tr w:rsidR="00E6560B" w:rsidRPr="00313547" w14:paraId="53AB378E" w14:textId="77777777" w:rsidTr="005D36DB">
        <w:trPr>
          <w:tblHeader/>
        </w:trPr>
        <w:tc>
          <w:tcPr>
            <w:tcW w:w="806" w:type="pct"/>
            <w:shd w:val="clear" w:color="auto" w:fill="EEECE1" w:themeFill="background2"/>
            <w:vAlign w:val="center"/>
          </w:tcPr>
          <w:p w14:paraId="4026EF01" w14:textId="77777777" w:rsidR="00E6560B" w:rsidRPr="00662D91" w:rsidRDefault="00E6560B" w:rsidP="005D36DB">
            <w:pPr>
              <w:rPr>
                <w:sz w:val="22"/>
                <w:szCs w:val="22"/>
              </w:rPr>
            </w:pPr>
            <w:r w:rsidRPr="00662D91">
              <w:rPr>
                <w:sz w:val="22"/>
                <w:szCs w:val="22"/>
              </w:rPr>
              <w:t>Criteria</w:t>
            </w:r>
          </w:p>
        </w:tc>
        <w:tc>
          <w:tcPr>
            <w:tcW w:w="1336" w:type="pct"/>
            <w:shd w:val="clear" w:color="auto" w:fill="EEECE1" w:themeFill="background2"/>
            <w:vAlign w:val="center"/>
          </w:tcPr>
          <w:p w14:paraId="30ABD5FA" w14:textId="77777777" w:rsidR="00E6560B" w:rsidRPr="00662D91" w:rsidRDefault="00E6560B" w:rsidP="005D36DB">
            <w:pPr>
              <w:ind w:left="360"/>
              <w:rPr>
                <w:sz w:val="22"/>
                <w:szCs w:val="22"/>
              </w:rPr>
            </w:pPr>
            <w:r w:rsidRPr="00662D91">
              <w:rPr>
                <w:sz w:val="22"/>
                <w:szCs w:val="22"/>
              </w:rPr>
              <w:t>Evidence (theoretical and/or practical) and other notes (</w:t>
            </w:r>
            <w:proofErr w:type="gramStart"/>
            <w:r w:rsidRPr="00662D91">
              <w:rPr>
                <w:sz w:val="22"/>
                <w:szCs w:val="22"/>
              </w:rPr>
              <w:t>e.g.</w:t>
            </w:r>
            <w:proofErr w:type="gramEnd"/>
            <w:r w:rsidRPr="00662D91">
              <w:rPr>
                <w:sz w:val="22"/>
                <w:szCs w:val="22"/>
              </w:rPr>
              <w:t xml:space="preserve"> further supervision requirements)</w:t>
            </w:r>
          </w:p>
        </w:tc>
        <w:tc>
          <w:tcPr>
            <w:tcW w:w="898" w:type="pct"/>
            <w:shd w:val="clear" w:color="auto" w:fill="EEECE1" w:themeFill="background2"/>
            <w:vAlign w:val="center"/>
          </w:tcPr>
          <w:p w14:paraId="4B3C9EC7" w14:textId="77777777" w:rsidR="00E6560B" w:rsidRPr="00662D91" w:rsidRDefault="00E6560B" w:rsidP="005D36DB">
            <w:pPr>
              <w:rPr>
                <w:sz w:val="22"/>
                <w:szCs w:val="22"/>
              </w:rPr>
            </w:pPr>
            <w:r w:rsidRPr="00662D91">
              <w:rPr>
                <w:sz w:val="22"/>
                <w:szCs w:val="22"/>
              </w:rPr>
              <w:t>Reason for assessment (new task/refresher etc)</w:t>
            </w:r>
          </w:p>
        </w:tc>
        <w:tc>
          <w:tcPr>
            <w:tcW w:w="700" w:type="pct"/>
            <w:shd w:val="clear" w:color="auto" w:fill="EEECE1" w:themeFill="background2"/>
            <w:vAlign w:val="center"/>
          </w:tcPr>
          <w:p w14:paraId="6FA412A7" w14:textId="77777777" w:rsidR="00E6560B" w:rsidRPr="00662D91" w:rsidRDefault="00E6560B" w:rsidP="005D36DB">
            <w:pPr>
              <w:rPr>
                <w:sz w:val="22"/>
                <w:szCs w:val="22"/>
              </w:rPr>
            </w:pPr>
            <w:r w:rsidRPr="00662D91">
              <w:rPr>
                <w:sz w:val="22"/>
                <w:szCs w:val="22"/>
              </w:rPr>
              <w:t>Worker Signature</w:t>
            </w:r>
          </w:p>
        </w:tc>
        <w:tc>
          <w:tcPr>
            <w:tcW w:w="749" w:type="pct"/>
            <w:shd w:val="clear" w:color="auto" w:fill="EEECE1" w:themeFill="background2"/>
            <w:vAlign w:val="center"/>
          </w:tcPr>
          <w:p w14:paraId="046C931F" w14:textId="77777777" w:rsidR="00E6560B" w:rsidRPr="00662D91" w:rsidRDefault="00E6560B" w:rsidP="005D36DB">
            <w:pPr>
              <w:rPr>
                <w:sz w:val="22"/>
                <w:szCs w:val="22"/>
              </w:rPr>
            </w:pPr>
            <w:r w:rsidRPr="00662D91">
              <w:rPr>
                <w:sz w:val="22"/>
                <w:szCs w:val="22"/>
              </w:rPr>
              <w:t>Assessor signature</w:t>
            </w:r>
          </w:p>
        </w:tc>
        <w:tc>
          <w:tcPr>
            <w:tcW w:w="511" w:type="pct"/>
            <w:shd w:val="clear" w:color="auto" w:fill="EEECE1" w:themeFill="background2"/>
            <w:vAlign w:val="center"/>
          </w:tcPr>
          <w:p w14:paraId="5454C8E1" w14:textId="77777777" w:rsidR="00E6560B" w:rsidRPr="00662D91" w:rsidRDefault="00E6560B" w:rsidP="005D36DB">
            <w:pPr>
              <w:rPr>
                <w:sz w:val="22"/>
                <w:szCs w:val="22"/>
              </w:rPr>
            </w:pPr>
            <w:r w:rsidRPr="00662D91">
              <w:rPr>
                <w:sz w:val="22"/>
                <w:szCs w:val="22"/>
              </w:rPr>
              <w:t>Date</w:t>
            </w:r>
          </w:p>
        </w:tc>
      </w:tr>
      <w:tr w:rsidR="00E6560B" w:rsidRPr="00313547" w14:paraId="211C357F" w14:textId="77777777" w:rsidTr="005D36DB">
        <w:tc>
          <w:tcPr>
            <w:tcW w:w="806" w:type="pct"/>
          </w:tcPr>
          <w:p w14:paraId="6A7F17ED" w14:textId="77777777" w:rsidR="00E6560B" w:rsidRPr="00CA7225" w:rsidRDefault="00E6560B" w:rsidP="005D36DB">
            <w:pPr>
              <w:rPr>
                <w:b/>
                <w:sz w:val="20"/>
                <w:szCs w:val="20"/>
              </w:rPr>
            </w:pPr>
            <w:r w:rsidRPr="00CA7225">
              <w:rPr>
                <w:b/>
                <w:sz w:val="20"/>
                <w:szCs w:val="20"/>
              </w:rPr>
              <w:t>Core</w:t>
            </w:r>
          </w:p>
        </w:tc>
        <w:tc>
          <w:tcPr>
            <w:tcW w:w="1336" w:type="pct"/>
          </w:tcPr>
          <w:p w14:paraId="28C5DB08" w14:textId="77777777" w:rsidR="00E6560B" w:rsidRPr="00EF08F4" w:rsidRDefault="00E6560B" w:rsidP="005D36DB">
            <w:pPr>
              <w:ind w:left="360"/>
              <w:rPr>
                <w:sz w:val="20"/>
                <w:szCs w:val="20"/>
              </w:rPr>
            </w:pPr>
          </w:p>
        </w:tc>
        <w:tc>
          <w:tcPr>
            <w:tcW w:w="898" w:type="pct"/>
            <w:vAlign w:val="center"/>
          </w:tcPr>
          <w:p w14:paraId="49708604" w14:textId="77777777" w:rsidR="00E6560B" w:rsidRPr="00417E8E" w:rsidRDefault="00E6560B" w:rsidP="005D36DB">
            <w:pPr>
              <w:rPr>
                <w:sz w:val="20"/>
                <w:szCs w:val="20"/>
              </w:rPr>
            </w:pPr>
          </w:p>
        </w:tc>
        <w:tc>
          <w:tcPr>
            <w:tcW w:w="700" w:type="pct"/>
            <w:shd w:val="clear" w:color="auto" w:fill="FFFFFF" w:themeFill="background1"/>
          </w:tcPr>
          <w:p w14:paraId="7CD2258F" w14:textId="77777777" w:rsidR="00E6560B" w:rsidRPr="00EF08F4" w:rsidRDefault="00E6560B" w:rsidP="005D36DB">
            <w:pPr>
              <w:rPr>
                <w:sz w:val="20"/>
                <w:szCs w:val="20"/>
              </w:rPr>
            </w:pPr>
          </w:p>
        </w:tc>
        <w:tc>
          <w:tcPr>
            <w:tcW w:w="749" w:type="pct"/>
            <w:shd w:val="clear" w:color="auto" w:fill="FFFFFF" w:themeFill="background1"/>
          </w:tcPr>
          <w:p w14:paraId="24F7E48C" w14:textId="77777777" w:rsidR="00E6560B" w:rsidRPr="00EF08F4" w:rsidRDefault="00E6560B" w:rsidP="005D36DB">
            <w:pPr>
              <w:rPr>
                <w:sz w:val="20"/>
                <w:szCs w:val="20"/>
              </w:rPr>
            </w:pPr>
          </w:p>
        </w:tc>
        <w:tc>
          <w:tcPr>
            <w:tcW w:w="511" w:type="pct"/>
            <w:shd w:val="clear" w:color="auto" w:fill="FFFFFF" w:themeFill="background1"/>
          </w:tcPr>
          <w:p w14:paraId="5507A39A" w14:textId="77777777" w:rsidR="00E6560B" w:rsidRPr="00EF08F4" w:rsidRDefault="00E6560B" w:rsidP="005D36DB">
            <w:pPr>
              <w:rPr>
                <w:sz w:val="20"/>
                <w:szCs w:val="20"/>
              </w:rPr>
            </w:pPr>
          </w:p>
        </w:tc>
      </w:tr>
      <w:tr w:rsidR="00E6560B" w:rsidRPr="00313547" w14:paraId="38C0DABF" w14:textId="77777777" w:rsidTr="005D36DB">
        <w:tc>
          <w:tcPr>
            <w:tcW w:w="806" w:type="pct"/>
          </w:tcPr>
          <w:p w14:paraId="523D07DA" w14:textId="77777777" w:rsidR="00E6560B" w:rsidRPr="0052311B" w:rsidRDefault="00E6560B" w:rsidP="005D36DB">
            <w:pPr>
              <w:rPr>
                <w:sz w:val="20"/>
                <w:szCs w:val="20"/>
              </w:rPr>
            </w:pPr>
            <w:r w:rsidRPr="0052311B">
              <w:rPr>
                <w:sz w:val="20"/>
                <w:szCs w:val="20"/>
              </w:rPr>
              <w:t xml:space="preserve">School induction </w:t>
            </w:r>
          </w:p>
        </w:tc>
        <w:tc>
          <w:tcPr>
            <w:tcW w:w="1336" w:type="pct"/>
          </w:tcPr>
          <w:p w14:paraId="0A631150" w14:textId="77777777" w:rsidR="00E6560B" w:rsidRPr="00EF08F4" w:rsidRDefault="00E6560B" w:rsidP="005D36DB">
            <w:pPr>
              <w:ind w:left="360"/>
              <w:rPr>
                <w:sz w:val="20"/>
                <w:szCs w:val="20"/>
              </w:rPr>
            </w:pPr>
          </w:p>
        </w:tc>
        <w:tc>
          <w:tcPr>
            <w:tcW w:w="898" w:type="pct"/>
            <w:vAlign w:val="center"/>
          </w:tcPr>
          <w:p w14:paraId="159BD8BF" w14:textId="77777777" w:rsidR="00E6560B" w:rsidRPr="00417E8E" w:rsidRDefault="00E6560B" w:rsidP="005D36DB">
            <w:pPr>
              <w:rPr>
                <w:sz w:val="20"/>
                <w:szCs w:val="20"/>
              </w:rPr>
            </w:pPr>
          </w:p>
        </w:tc>
        <w:tc>
          <w:tcPr>
            <w:tcW w:w="700" w:type="pct"/>
            <w:shd w:val="clear" w:color="auto" w:fill="FFFFFF" w:themeFill="background1"/>
          </w:tcPr>
          <w:p w14:paraId="16D6D116" w14:textId="77777777" w:rsidR="00E6560B" w:rsidRPr="00EF08F4" w:rsidRDefault="00E6560B" w:rsidP="005D36DB">
            <w:pPr>
              <w:rPr>
                <w:sz w:val="20"/>
                <w:szCs w:val="20"/>
              </w:rPr>
            </w:pPr>
          </w:p>
        </w:tc>
        <w:tc>
          <w:tcPr>
            <w:tcW w:w="749" w:type="pct"/>
            <w:shd w:val="clear" w:color="auto" w:fill="FFFFFF" w:themeFill="background1"/>
          </w:tcPr>
          <w:p w14:paraId="4A1FE739" w14:textId="77777777" w:rsidR="00E6560B" w:rsidRPr="00EF08F4" w:rsidRDefault="00E6560B" w:rsidP="005D36DB">
            <w:pPr>
              <w:rPr>
                <w:sz w:val="20"/>
                <w:szCs w:val="20"/>
              </w:rPr>
            </w:pPr>
          </w:p>
        </w:tc>
        <w:tc>
          <w:tcPr>
            <w:tcW w:w="511" w:type="pct"/>
            <w:shd w:val="clear" w:color="auto" w:fill="FFFFFF" w:themeFill="background1"/>
          </w:tcPr>
          <w:p w14:paraId="44F65252" w14:textId="77777777" w:rsidR="00E6560B" w:rsidRPr="00EF08F4" w:rsidRDefault="00E6560B" w:rsidP="005D36DB">
            <w:pPr>
              <w:rPr>
                <w:sz w:val="20"/>
                <w:szCs w:val="20"/>
              </w:rPr>
            </w:pPr>
          </w:p>
        </w:tc>
      </w:tr>
      <w:tr w:rsidR="00E6560B" w:rsidRPr="00313547" w14:paraId="412A21FE" w14:textId="77777777" w:rsidTr="005D36DB">
        <w:tc>
          <w:tcPr>
            <w:tcW w:w="806" w:type="pct"/>
          </w:tcPr>
          <w:p w14:paraId="5994ABC0" w14:textId="4C0872C7" w:rsidR="00E6560B" w:rsidRPr="0052311B" w:rsidRDefault="00E6560B" w:rsidP="005D36DB">
            <w:pPr>
              <w:rPr>
                <w:sz w:val="20"/>
                <w:szCs w:val="20"/>
              </w:rPr>
            </w:pPr>
            <w:r w:rsidRPr="0052311B">
              <w:rPr>
                <w:sz w:val="20"/>
                <w:szCs w:val="20"/>
              </w:rPr>
              <w:t>School</w:t>
            </w:r>
            <w:r w:rsidR="007333E2">
              <w:rPr>
                <w:sz w:val="20"/>
                <w:szCs w:val="20"/>
              </w:rPr>
              <w:t xml:space="preserve"> </w:t>
            </w:r>
            <w:r w:rsidRPr="0052311B">
              <w:rPr>
                <w:sz w:val="20"/>
                <w:szCs w:val="20"/>
              </w:rPr>
              <w:t>rules</w:t>
            </w:r>
          </w:p>
        </w:tc>
        <w:tc>
          <w:tcPr>
            <w:tcW w:w="1336" w:type="pct"/>
          </w:tcPr>
          <w:p w14:paraId="378DC0D6" w14:textId="77777777" w:rsidR="00E6560B" w:rsidRPr="00EF08F4" w:rsidRDefault="00E6560B" w:rsidP="005D36DB">
            <w:pPr>
              <w:ind w:left="360"/>
              <w:rPr>
                <w:sz w:val="20"/>
                <w:szCs w:val="20"/>
              </w:rPr>
            </w:pPr>
          </w:p>
        </w:tc>
        <w:tc>
          <w:tcPr>
            <w:tcW w:w="898" w:type="pct"/>
            <w:vAlign w:val="center"/>
          </w:tcPr>
          <w:p w14:paraId="542BB4A6" w14:textId="77777777" w:rsidR="00E6560B" w:rsidRPr="00417E8E" w:rsidRDefault="00E6560B" w:rsidP="005D36DB">
            <w:pPr>
              <w:rPr>
                <w:sz w:val="20"/>
                <w:szCs w:val="20"/>
              </w:rPr>
            </w:pPr>
          </w:p>
        </w:tc>
        <w:tc>
          <w:tcPr>
            <w:tcW w:w="700" w:type="pct"/>
            <w:shd w:val="clear" w:color="auto" w:fill="FFFFFF" w:themeFill="background1"/>
          </w:tcPr>
          <w:p w14:paraId="2BBE1527" w14:textId="77777777" w:rsidR="00E6560B" w:rsidRPr="00EF08F4" w:rsidRDefault="00E6560B" w:rsidP="005D36DB">
            <w:pPr>
              <w:rPr>
                <w:sz w:val="20"/>
                <w:szCs w:val="20"/>
              </w:rPr>
            </w:pPr>
          </w:p>
        </w:tc>
        <w:tc>
          <w:tcPr>
            <w:tcW w:w="749" w:type="pct"/>
            <w:shd w:val="clear" w:color="auto" w:fill="FFFFFF" w:themeFill="background1"/>
          </w:tcPr>
          <w:p w14:paraId="363E52A2" w14:textId="77777777" w:rsidR="00E6560B" w:rsidRPr="00EF08F4" w:rsidRDefault="00E6560B" w:rsidP="005D36DB">
            <w:pPr>
              <w:rPr>
                <w:sz w:val="20"/>
                <w:szCs w:val="20"/>
              </w:rPr>
            </w:pPr>
          </w:p>
        </w:tc>
        <w:tc>
          <w:tcPr>
            <w:tcW w:w="511" w:type="pct"/>
            <w:shd w:val="clear" w:color="auto" w:fill="FFFFFF" w:themeFill="background1"/>
          </w:tcPr>
          <w:p w14:paraId="0FF4E60C" w14:textId="77777777" w:rsidR="00E6560B" w:rsidRPr="00EF08F4" w:rsidRDefault="00E6560B" w:rsidP="005D36DB">
            <w:pPr>
              <w:rPr>
                <w:sz w:val="20"/>
                <w:szCs w:val="20"/>
              </w:rPr>
            </w:pPr>
          </w:p>
        </w:tc>
      </w:tr>
      <w:tr w:rsidR="00E6560B" w:rsidRPr="00313547" w14:paraId="406D5E7A" w14:textId="77777777" w:rsidTr="005D36DB">
        <w:tc>
          <w:tcPr>
            <w:tcW w:w="806" w:type="pct"/>
          </w:tcPr>
          <w:p w14:paraId="0866D9A1" w14:textId="77777777" w:rsidR="00E6560B" w:rsidRPr="0052311B" w:rsidRDefault="00E6560B" w:rsidP="005D36DB">
            <w:pPr>
              <w:rPr>
                <w:sz w:val="20"/>
                <w:szCs w:val="20"/>
              </w:rPr>
            </w:pPr>
            <w:r w:rsidRPr="0052311B">
              <w:rPr>
                <w:sz w:val="20"/>
                <w:szCs w:val="20"/>
              </w:rPr>
              <w:t xml:space="preserve">Safety responsibilities </w:t>
            </w:r>
          </w:p>
        </w:tc>
        <w:tc>
          <w:tcPr>
            <w:tcW w:w="1336" w:type="pct"/>
          </w:tcPr>
          <w:p w14:paraId="6CB7AC7C" w14:textId="77777777" w:rsidR="00E6560B" w:rsidRPr="00EF08F4" w:rsidRDefault="00E6560B" w:rsidP="005D36DB">
            <w:pPr>
              <w:ind w:left="360"/>
              <w:rPr>
                <w:sz w:val="20"/>
                <w:szCs w:val="20"/>
              </w:rPr>
            </w:pPr>
          </w:p>
        </w:tc>
        <w:tc>
          <w:tcPr>
            <w:tcW w:w="898" w:type="pct"/>
            <w:vAlign w:val="center"/>
          </w:tcPr>
          <w:p w14:paraId="5D60F753" w14:textId="77777777" w:rsidR="00E6560B" w:rsidRPr="00417E8E" w:rsidRDefault="00E6560B" w:rsidP="005D36DB">
            <w:pPr>
              <w:rPr>
                <w:sz w:val="20"/>
                <w:szCs w:val="20"/>
              </w:rPr>
            </w:pPr>
          </w:p>
        </w:tc>
        <w:tc>
          <w:tcPr>
            <w:tcW w:w="700" w:type="pct"/>
            <w:shd w:val="clear" w:color="auto" w:fill="FFFFFF" w:themeFill="background1"/>
          </w:tcPr>
          <w:p w14:paraId="6BFD02BE" w14:textId="77777777" w:rsidR="00E6560B" w:rsidRPr="00EF08F4" w:rsidRDefault="00E6560B" w:rsidP="005D36DB">
            <w:pPr>
              <w:rPr>
                <w:sz w:val="20"/>
                <w:szCs w:val="20"/>
              </w:rPr>
            </w:pPr>
          </w:p>
        </w:tc>
        <w:tc>
          <w:tcPr>
            <w:tcW w:w="749" w:type="pct"/>
            <w:shd w:val="clear" w:color="auto" w:fill="FFFFFF" w:themeFill="background1"/>
          </w:tcPr>
          <w:p w14:paraId="645F19D3" w14:textId="77777777" w:rsidR="00E6560B" w:rsidRPr="00EF08F4" w:rsidRDefault="00E6560B" w:rsidP="005D36DB">
            <w:pPr>
              <w:rPr>
                <w:sz w:val="20"/>
                <w:szCs w:val="20"/>
              </w:rPr>
            </w:pPr>
          </w:p>
        </w:tc>
        <w:tc>
          <w:tcPr>
            <w:tcW w:w="511" w:type="pct"/>
            <w:shd w:val="clear" w:color="auto" w:fill="FFFFFF" w:themeFill="background1"/>
          </w:tcPr>
          <w:p w14:paraId="2F6E9596" w14:textId="77777777" w:rsidR="00E6560B" w:rsidRPr="00EF08F4" w:rsidRDefault="00E6560B" w:rsidP="005D36DB">
            <w:pPr>
              <w:rPr>
                <w:sz w:val="20"/>
                <w:szCs w:val="20"/>
              </w:rPr>
            </w:pPr>
          </w:p>
        </w:tc>
      </w:tr>
      <w:tr w:rsidR="00E6560B" w:rsidRPr="00313547" w14:paraId="43F302D5" w14:textId="77777777" w:rsidTr="005D36DB">
        <w:tc>
          <w:tcPr>
            <w:tcW w:w="806" w:type="pct"/>
          </w:tcPr>
          <w:p w14:paraId="3ECE56FF" w14:textId="3F07CB16" w:rsidR="00E6560B" w:rsidRPr="00162F24" w:rsidRDefault="004E29C1" w:rsidP="005D36DB">
            <w:pPr>
              <w:rPr>
                <w:b/>
                <w:sz w:val="20"/>
                <w:szCs w:val="20"/>
              </w:rPr>
            </w:pPr>
            <w:r>
              <w:rPr>
                <w:b/>
                <w:sz w:val="20"/>
                <w:szCs w:val="20"/>
              </w:rPr>
              <w:t>S</w:t>
            </w:r>
            <w:r w:rsidR="00E6560B">
              <w:rPr>
                <w:b/>
                <w:sz w:val="20"/>
                <w:szCs w:val="20"/>
              </w:rPr>
              <w:t>afety t</w:t>
            </w:r>
            <w:r w:rsidR="00E6560B" w:rsidRPr="00162F24">
              <w:rPr>
                <w:b/>
                <w:sz w:val="20"/>
                <w:szCs w:val="20"/>
              </w:rPr>
              <w:t>raining</w:t>
            </w:r>
            <w:r w:rsidR="00E6560B">
              <w:rPr>
                <w:b/>
                <w:sz w:val="20"/>
                <w:szCs w:val="20"/>
              </w:rPr>
              <w:t>:</w:t>
            </w:r>
          </w:p>
        </w:tc>
        <w:tc>
          <w:tcPr>
            <w:tcW w:w="1336" w:type="pct"/>
          </w:tcPr>
          <w:p w14:paraId="0CEC44F7" w14:textId="77777777" w:rsidR="00E6560B" w:rsidRPr="00EF08F4" w:rsidRDefault="00E6560B" w:rsidP="005D36DB">
            <w:pPr>
              <w:ind w:left="360"/>
              <w:rPr>
                <w:sz w:val="20"/>
                <w:szCs w:val="20"/>
              </w:rPr>
            </w:pPr>
          </w:p>
        </w:tc>
        <w:tc>
          <w:tcPr>
            <w:tcW w:w="898" w:type="pct"/>
            <w:vAlign w:val="center"/>
          </w:tcPr>
          <w:p w14:paraId="5F1E606A" w14:textId="77777777" w:rsidR="00E6560B" w:rsidRPr="00417E8E" w:rsidRDefault="00E6560B" w:rsidP="005D36DB">
            <w:pPr>
              <w:rPr>
                <w:sz w:val="20"/>
                <w:szCs w:val="20"/>
              </w:rPr>
            </w:pPr>
          </w:p>
        </w:tc>
        <w:tc>
          <w:tcPr>
            <w:tcW w:w="700" w:type="pct"/>
            <w:shd w:val="clear" w:color="auto" w:fill="FFFFFF" w:themeFill="background1"/>
          </w:tcPr>
          <w:p w14:paraId="2B65B48D" w14:textId="77777777" w:rsidR="00E6560B" w:rsidRPr="00313547" w:rsidRDefault="00E6560B" w:rsidP="005D36DB">
            <w:pPr>
              <w:rPr>
                <w:sz w:val="20"/>
                <w:szCs w:val="20"/>
              </w:rPr>
            </w:pPr>
          </w:p>
        </w:tc>
        <w:tc>
          <w:tcPr>
            <w:tcW w:w="749" w:type="pct"/>
            <w:shd w:val="clear" w:color="auto" w:fill="FFFFFF" w:themeFill="background1"/>
          </w:tcPr>
          <w:p w14:paraId="77CC4A3B" w14:textId="77777777" w:rsidR="00E6560B" w:rsidRPr="00313547" w:rsidRDefault="00E6560B" w:rsidP="005D36DB">
            <w:pPr>
              <w:rPr>
                <w:sz w:val="20"/>
                <w:szCs w:val="20"/>
              </w:rPr>
            </w:pPr>
          </w:p>
        </w:tc>
        <w:tc>
          <w:tcPr>
            <w:tcW w:w="511" w:type="pct"/>
            <w:shd w:val="clear" w:color="auto" w:fill="FFFFFF" w:themeFill="background1"/>
          </w:tcPr>
          <w:p w14:paraId="73489E6F" w14:textId="77777777" w:rsidR="00E6560B" w:rsidRPr="00313547" w:rsidRDefault="00E6560B" w:rsidP="005D36DB">
            <w:pPr>
              <w:rPr>
                <w:sz w:val="20"/>
                <w:szCs w:val="20"/>
              </w:rPr>
            </w:pPr>
          </w:p>
        </w:tc>
      </w:tr>
      <w:tr w:rsidR="00E6560B" w:rsidRPr="00313547" w14:paraId="016EF37C" w14:textId="77777777" w:rsidTr="005D36DB">
        <w:tc>
          <w:tcPr>
            <w:tcW w:w="806" w:type="pct"/>
          </w:tcPr>
          <w:p w14:paraId="5CC07E9E" w14:textId="7B281F0C" w:rsidR="00E6560B" w:rsidRPr="0052311B" w:rsidRDefault="0069529D" w:rsidP="00B91F8A">
            <w:pPr>
              <w:pStyle w:val="ListParagraph"/>
              <w:numPr>
                <w:ilvl w:val="0"/>
                <w:numId w:val="26"/>
              </w:numPr>
              <w:spacing w:after="0" w:line="240" w:lineRule="auto"/>
              <w:rPr>
                <w:sz w:val="20"/>
                <w:szCs w:val="20"/>
              </w:rPr>
            </w:pPr>
            <w:r>
              <w:rPr>
                <w:sz w:val="20"/>
                <w:szCs w:val="20"/>
              </w:rPr>
              <w:t xml:space="preserve">Online </w:t>
            </w:r>
            <w:proofErr w:type="spellStart"/>
            <w:r>
              <w:rPr>
                <w:sz w:val="20"/>
                <w:szCs w:val="20"/>
              </w:rPr>
              <w:t>biorisk</w:t>
            </w:r>
            <w:proofErr w:type="spellEnd"/>
            <w:r>
              <w:rPr>
                <w:sz w:val="20"/>
                <w:szCs w:val="20"/>
              </w:rPr>
              <w:t xml:space="preserve"> training module</w:t>
            </w:r>
            <w:r w:rsidR="003B6C70">
              <w:rPr>
                <w:sz w:val="20"/>
                <w:szCs w:val="20"/>
              </w:rPr>
              <w:t xml:space="preserve"> </w:t>
            </w:r>
            <w:r w:rsidR="009A0EF1">
              <w:rPr>
                <w:sz w:val="20"/>
                <w:szCs w:val="20"/>
              </w:rPr>
              <w:t xml:space="preserve">1 </w:t>
            </w:r>
            <w:r w:rsidR="00341FD1">
              <w:rPr>
                <w:sz w:val="20"/>
                <w:szCs w:val="20"/>
              </w:rPr>
              <w:t xml:space="preserve">(mandatory) </w:t>
            </w:r>
            <w:r w:rsidR="009A0EF1">
              <w:rPr>
                <w:sz w:val="20"/>
                <w:szCs w:val="20"/>
              </w:rPr>
              <w:t>and ___</w:t>
            </w:r>
            <w:r w:rsidR="00341FD1">
              <w:rPr>
                <w:sz w:val="20"/>
                <w:szCs w:val="20"/>
              </w:rPr>
              <w:t>_________</w:t>
            </w:r>
          </w:p>
        </w:tc>
        <w:tc>
          <w:tcPr>
            <w:tcW w:w="1336" w:type="pct"/>
          </w:tcPr>
          <w:p w14:paraId="5FC65A0C" w14:textId="77777777" w:rsidR="00E6560B" w:rsidRPr="00EF08F4" w:rsidRDefault="00E6560B" w:rsidP="005D36DB">
            <w:pPr>
              <w:ind w:left="360"/>
              <w:rPr>
                <w:sz w:val="20"/>
                <w:szCs w:val="20"/>
              </w:rPr>
            </w:pPr>
          </w:p>
        </w:tc>
        <w:tc>
          <w:tcPr>
            <w:tcW w:w="898" w:type="pct"/>
            <w:vAlign w:val="center"/>
          </w:tcPr>
          <w:p w14:paraId="577978B7" w14:textId="77777777" w:rsidR="00E6560B" w:rsidRPr="00417E8E" w:rsidRDefault="00E6560B" w:rsidP="005D36DB">
            <w:pPr>
              <w:rPr>
                <w:sz w:val="20"/>
                <w:szCs w:val="20"/>
              </w:rPr>
            </w:pPr>
          </w:p>
        </w:tc>
        <w:tc>
          <w:tcPr>
            <w:tcW w:w="700" w:type="pct"/>
            <w:shd w:val="clear" w:color="auto" w:fill="FFFFFF" w:themeFill="background1"/>
          </w:tcPr>
          <w:p w14:paraId="6A18F612" w14:textId="77777777" w:rsidR="00E6560B" w:rsidRPr="00EF08F4" w:rsidRDefault="00E6560B" w:rsidP="005D36DB">
            <w:pPr>
              <w:rPr>
                <w:sz w:val="20"/>
                <w:szCs w:val="20"/>
              </w:rPr>
            </w:pPr>
          </w:p>
        </w:tc>
        <w:tc>
          <w:tcPr>
            <w:tcW w:w="749" w:type="pct"/>
            <w:shd w:val="clear" w:color="auto" w:fill="FFFFFF" w:themeFill="background1"/>
          </w:tcPr>
          <w:p w14:paraId="5AA4F877" w14:textId="77777777" w:rsidR="00E6560B" w:rsidRPr="00EF08F4" w:rsidRDefault="00E6560B" w:rsidP="005D36DB">
            <w:pPr>
              <w:rPr>
                <w:sz w:val="20"/>
                <w:szCs w:val="20"/>
              </w:rPr>
            </w:pPr>
          </w:p>
        </w:tc>
        <w:tc>
          <w:tcPr>
            <w:tcW w:w="511" w:type="pct"/>
            <w:shd w:val="clear" w:color="auto" w:fill="FFFFFF" w:themeFill="background1"/>
          </w:tcPr>
          <w:p w14:paraId="05DCC49A" w14:textId="77777777" w:rsidR="00E6560B" w:rsidRPr="00EF08F4" w:rsidRDefault="00E6560B" w:rsidP="005D36DB">
            <w:pPr>
              <w:rPr>
                <w:sz w:val="20"/>
                <w:szCs w:val="20"/>
              </w:rPr>
            </w:pPr>
          </w:p>
        </w:tc>
      </w:tr>
      <w:tr w:rsidR="00E6560B" w:rsidRPr="00313547" w14:paraId="4E841C6B" w14:textId="77777777" w:rsidTr="005D36DB">
        <w:tc>
          <w:tcPr>
            <w:tcW w:w="806" w:type="pct"/>
          </w:tcPr>
          <w:p w14:paraId="187F7D9E" w14:textId="77777777" w:rsidR="00E6560B" w:rsidRPr="0052311B" w:rsidRDefault="00E6560B" w:rsidP="00B91F8A">
            <w:pPr>
              <w:pStyle w:val="ListParagraph"/>
              <w:numPr>
                <w:ilvl w:val="0"/>
                <w:numId w:val="26"/>
              </w:numPr>
              <w:spacing w:after="0" w:line="240" w:lineRule="auto"/>
              <w:rPr>
                <w:sz w:val="20"/>
                <w:szCs w:val="20"/>
              </w:rPr>
            </w:pPr>
            <w:r>
              <w:rPr>
                <w:sz w:val="20"/>
                <w:szCs w:val="20"/>
              </w:rPr>
              <w:t>Genetic Modification</w:t>
            </w:r>
          </w:p>
        </w:tc>
        <w:tc>
          <w:tcPr>
            <w:tcW w:w="1336" w:type="pct"/>
          </w:tcPr>
          <w:p w14:paraId="6E02D842" w14:textId="77777777" w:rsidR="00E6560B" w:rsidRPr="00313547" w:rsidRDefault="00E6560B" w:rsidP="005D36DB">
            <w:pPr>
              <w:rPr>
                <w:sz w:val="20"/>
                <w:szCs w:val="20"/>
              </w:rPr>
            </w:pPr>
          </w:p>
        </w:tc>
        <w:tc>
          <w:tcPr>
            <w:tcW w:w="898" w:type="pct"/>
            <w:vAlign w:val="center"/>
          </w:tcPr>
          <w:p w14:paraId="7E2F5AB7" w14:textId="77777777" w:rsidR="00E6560B" w:rsidRPr="00417E8E" w:rsidRDefault="00E6560B" w:rsidP="005D36DB">
            <w:pPr>
              <w:rPr>
                <w:sz w:val="20"/>
                <w:szCs w:val="20"/>
              </w:rPr>
            </w:pPr>
          </w:p>
        </w:tc>
        <w:tc>
          <w:tcPr>
            <w:tcW w:w="700" w:type="pct"/>
            <w:shd w:val="clear" w:color="auto" w:fill="FFFFFF" w:themeFill="background1"/>
          </w:tcPr>
          <w:p w14:paraId="79B814F0" w14:textId="77777777" w:rsidR="00E6560B" w:rsidRPr="00EF08F4" w:rsidRDefault="00E6560B" w:rsidP="005D36DB">
            <w:pPr>
              <w:rPr>
                <w:sz w:val="20"/>
                <w:szCs w:val="20"/>
              </w:rPr>
            </w:pPr>
          </w:p>
        </w:tc>
        <w:tc>
          <w:tcPr>
            <w:tcW w:w="749" w:type="pct"/>
            <w:shd w:val="clear" w:color="auto" w:fill="FFFFFF" w:themeFill="background1"/>
          </w:tcPr>
          <w:p w14:paraId="26084223" w14:textId="77777777" w:rsidR="00E6560B" w:rsidRPr="00EF08F4" w:rsidRDefault="00E6560B" w:rsidP="005D36DB">
            <w:pPr>
              <w:rPr>
                <w:sz w:val="20"/>
                <w:szCs w:val="20"/>
              </w:rPr>
            </w:pPr>
          </w:p>
        </w:tc>
        <w:tc>
          <w:tcPr>
            <w:tcW w:w="511" w:type="pct"/>
            <w:shd w:val="clear" w:color="auto" w:fill="FFFFFF" w:themeFill="background1"/>
          </w:tcPr>
          <w:p w14:paraId="25DDF170" w14:textId="77777777" w:rsidR="00E6560B" w:rsidRPr="00EF08F4" w:rsidRDefault="00E6560B" w:rsidP="005D36DB">
            <w:pPr>
              <w:rPr>
                <w:sz w:val="20"/>
                <w:szCs w:val="20"/>
              </w:rPr>
            </w:pPr>
          </w:p>
        </w:tc>
      </w:tr>
      <w:tr w:rsidR="00E6560B" w:rsidRPr="00313547" w14:paraId="33557D17" w14:textId="77777777" w:rsidTr="005D36DB">
        <w:tc>
          <w:tcPr>
            <w:tcW w:w="806" w:type="pct"/>
          </w:tcPr>
          <w:p w14:paraId="3D4320B2" w14:textId="77777777" w:rsidR="00E6560B" w:rsidRPr="0052311B" w:rsidRDefault="00E6560B" w:rsidP="00B91F8A">
            <w:pPr>
              <w:pStyle w:val="ListParagraph"/>
              <w:numPr>
                <w:ilvl w:val="0"/>
                <w:numId w:val="26"/>
              </w:numPr>
              <w:spacing w:after="0" w:line="240" w:lineRule="auto"/>
              <w:rPr>
                <w:sz w:val="20"/>
                <w:szCs w:val="20"/>
              </w:rPr>
            </w:pPr>
            <w:r w:rsidRPr="0052311B">
              <w:rPr>
                <w:sz w:val="20"/>
                <w:szCs w:val="20"/>
              </w:rPr>
              <w:t>Risk assessment (as appropriate)</w:t>
            </w:r>
          </w:p>
        </w:tc>
        <w:tc>
          <w:tcPr>
            <w:tcW w:w="1336" w:type="pct"/>
          </w:tcPr>
          <w:p w14:paraId="534A0EC0" w14:textId="77777777" w:rsidR="00E6560B" w:rsidRPr="00313547" w:rsidRDefault="00E6560B" w:rsidP="005D36DB">
            <w:pPr>
              <w:rPr>
                <w:sz w:val="20"/>
                <w:szCs w:val="20"/>
              </w:rPr>
            </w:pPr>
          </w:p>
        </w:tc>
        <w:tc>
          <w:tcPr>
            <w:tcW w:w="898" w:type="pct"/>
            <w:vAlign w:val="center"/>
          </w:tcPr>
          <w:p w14:paraId="5B24BD88" w14:textId="77777777" w:rsidR="00E6560B" w:rsidRPr="00417E8E" w:rsidRDefault="00E6560B" w:rsidP="005D36DB">
            <w:pPr>
              <w:rPr>
                <w:sz w:val="20"/>
                <w:szCs w:val="20"/>
              </w:rPr>
            </w:pPr>
          </w:p>
        </w:tc>
        <w:tc>
          <w:tcPr>
            <w:tcW w:w="700" w:type="pct"/>
            <w:shd w:val="clear" w:color="auto" w:fill="FFFFFF" w:themeFill="background1"/>
          </w:tcPr>
          <w:p w14:paraId="2B87E5D2" w14:textId="77777777" w:rsidR="00E6560B" w:rsidRPr="00313547" w:rsidRDefault="00E6560B" w:rsidP="005D36DB">
            <w:pPr>
              <w:rPr>
                <w:sz w:val="20"/>
                <w:szCs w:val="20"/>
              </w:rPr>
            </w:pPr>
          </w:p>
        </w:tc>
        <w:tc>
          <w:tcPr>
            <w:tcW w:w="749" w:type="pct"/>
            <w:shd w:val="clear" w:color="auto" w:fill="FFFFFF" w:themeFill="background1"/>
          </w:tcPr>
          <w:p w14:paraId="178873D8" w14:textId="77777777" w:rsidR="00E6560B" w:rsidRPr="00313547" w:rsidRDefault="00E6560B" w:rsidP="005D36DB">
            <w:pPr>
              <w:rPr>
                <w:sz w:val="20"/>
                <w:szCs w:val="20"/>
              </w:rPr>
            </w:pPr>
          </w:p>
        </w:tc>
        <w:tc>
          <w:tcPr>
            <w:tcW w:w="511" w:type="pct"/>
            <w:shd w:val="clear" w:color="auto" w:fill="FFFFFF" w:themeFill="background1"/>
          </w:tcPr>
          <w:p w14:paraId="68D0F50A" w14:textId="77777777" w:rsidR="00E6560B" w:rsidRPr="00313547" w:rsidRDefault="00E6560B" w:rsidP="005D36DB">
            <w:pPr>
              <w:rPr>
                <w:sz w:val="20"/>
                <w:szCs w:val="20"/>
              </w:rPr>
            </w:pPr>
          </w:p>
        </w:tc>
      </w:tr>
      <w:tr w:rsidR="00E6560B" w:rsidRPr="00313547" w14:paraId="162CBC07" w14:textId="77777777" w:rsidTr="005D36DB">
        <w:tc>
          <w:tcPr>
            <w:tcW w:w="806" w:type="pct"/>
          </w:tcPr>
          <w:p w14:paraId="71ACA9E1" w14:textId="77777777" w:rsidR="00E6560B" w:rsidRDefault="00E6560B" w:rsidP="00B91F8A">
            <w:pPr>
              <w:pStyle w:val="ListParagraph"/>
              <w:numPr>
                <w:ilvl w:val="0"/>
                <w:numId w:val="26"/>
              </w:numPr>
              <w:spacing w:after="0" w:line="240" w:lineRule="auto"/>
              <w:rPr>
                <w:sz w:val="20"/>
                <w:szCs w:val="20"/>
              </w:rPr>
            </w:pPr>
            <w:r>
              <w:rPr>
                <w:sz w:val="20"/>
                <w:szCs w:val="20"/>
              </w:rPr>
              <w:t>Others (please list):</w:t>
            </w:r>
          </w:p>
          <w:p w14:paraId="07FE045E" w14:textId="77777777" w:rsidR="00E6560B" w:rsidRPr="00AB6311" w:rsidRDefault="00E6560B" w:rsidP="005D36DB">
            <w:pPr>
              <w:rPr>
                <w:sz w:val="20"/>
                <w:szCs w:val="20"/>
              </w:rPr>
            </w:pPr>
          </w:p>
        </w:tc>
        <w:tc>
          <w:tcPr>
            <w:tcW w:w="1336" w:type="pct"/>
          </w:tcPr>
          <w:p w14:paraId="36FA45B8" w14:textId="77777777" w:rsidR="00E6560B" w:rsidRPr="00313547" w:rsidRDefault="00E6560B" w:rsidP="005D36DB">
            <w:pPr>
              <w:rPr>
                <w:sz w:val="20"/>
                <w:szCs w:val="20"/>
              </w:rPr>
            </w:pPr>
          </w:p>
        </w:tc>
        <w:tc>
          <w:tcPr>
            <w:tcW w:w="898" w:type="pct"/>
            <w:vAlign w:val="center"/>
          </w:tcPr>
          <w:p w14:paraId="3A5166D5" w14:textId="77777777" w:rsidR="00E6560B" w:rsidRPr="00417E8E" w:rsidRDefault="00E6560B" w:rsidP="005D36DB">
            <w:pPr>
              <w:rPr>
                <w:sz w:val="20"/>
                <w:szCs w:val="20"/>
              </w:rPr>
            </w:pPr>
          </w:p>
        </w:tc>
        <w:tc>
          <w:tcPr>
            <w:tcW w:w="700" w:type="pct"/>
            <w:shd w:val="clear" w:color="auto" w:fill="FFFFFF" w:themeFill="background1"/>
          </w:tcPr>
          <w:p w14:paraId="5FE2BBB0" w14:textId="77777777" w:rsidR="00E6560B" w:rsidRPr="00313547" w:rsidRDefault="00E6560B" w:rsidP="005D36DB">
            <w:pPr>
              <w:rPr>
                <w:sz w:val="20"/>
                <w:szCs w:val="20"/>
              </w:rPr>
            </w:pPr>
          </w:p>
        </w:tc>
        <w:tc>
          <w:tcPr>
            <w:tcW w:w="749" w:type="pct"/>
            <w:shd w:val="clear" w:color="auto" w:fill="FFFFFF" w:themeFill="background1"/>
          </w:tcPr>
          <w:p w14:paraId="184745A0" w14:textId="77777777" w:rsidR="00E6560B" w:rsidRPr="00313547" w:rsidRDefault="00E6560B" w:rsidP="005D36DB">
            <w:pPr>
              <w:rPr>
                <w:sz w:val="20"/>
                <w:szCs w:val="20"/>
              </w:rPr>
            </w:pPr>
          </w:p>
        </w:tc>
        <w:tc>
          <w:tcPr>
            <w:tcW w:w="511" w:type="pct"/>
            <w:shd w:val="clear" w:color="auto" w:fill="FFFFFF" w:themeFill="background1"/>
          </w:tcPr>
          <w:p w14:paraId="0146DA2E" w14:textId="77777777" w:rsidR="00E6560B" w:rsidRPr="00313547" w:rsidRDefault="00E6560B" w:rsidP="005D36DB">
            <w:pPr>
              <w:rPr>
                <w:sz w:val="20"/>
                <w:szCs w:val="20"/>
              </w:rPr>
            </w:pPr>
          </w:p>
        </w:tc>
      </w:tr>
      <w:tr w:rsidR="00E6560B" w:rsidRPr="00313547" w14:paraId="416F9B68" w14:textId="77777777" w:rsidTr="005D36DB">
        <w:tc>
          <w:tcPr>
            <w:tcW w:w="806" w:type="pct"/>
          </w:tcPr>
          <w:p w14:paraId="4D361D8D" w14:textId="77777777" w:rsidR="00E6560B" w:rsidRPr="0090035F" w:rsidRDefault="00E6560B" w:rsidP="005D36DB">
            <w:pPr>
              <w:rPr>
                <w:b/>
                <w:sz w:val="20"/>
                <w:szCs w:val="20"/>
              </w:rPr>
            </w:pPr>
            <w:r>
              <w:rPr>
                <w:b/>
                <w:sz w:val="20"/>
                <w:szCs w:val="20"/>
              </w:rPr>
              <w:t>External training</w:t>
            </w:r>
            <w:r w:rsidRPr="0090035F">
              <w:rPr>
                <w:b/>
                <w:sz w:val="20"/>
                <w:szCs w:val="20"/>
              </w:rPr>
              <w:t>:</w:t>
            </w:r>
          </w:p>
        </w:tc>
        <w:tc>
          <w:tcPr>
            <w:tcW w:w="1336" w:type="pct"/>
          </w:tcPr>
          <w:p w14:paraId="30189ABB" w14:textId="77777777" w:rsidR="00E6560B" w:rsidRPr="00313547" w:rsidRDefault="00E6560B" w:rsidP="005D36DB">
            <w:pPr>
              <w:rPr>
                <w:sz w:val="20"/>
                <w:szCs w:val="20"/>
              </w:rPr>
            </w:pPr>
          </w:p>
        </w:tc>
        <w:tc>
          <w:tcPr>
            <w:tcW w:w="898" w:type="pct"/>
            <w:vAlign w:val="center"/>
          </w:tcPr>
          <w:p w14:paraId="3AF4B454" w14:textId="77777777" w:rsidR="00E6560B" w:rsidRPr="00417E8E" w:rsidRDefault="00E6560B" w:rsidP="005D36DB">
            <w:pPr>
              <w:rPr>
                <w:sz w:val="20"/>
                <w:szCs w:val="20"/>
              </w:rPr>
            </w:pPr>
          </w:p>
        </w:tc>
        <w:tc>
          <w:tcPr>
            <w:tcW w:w="700" w:type="pct"/>
            <w:shd w:val="clear" w:color="auto" w:fill="FFFFFF" w:themeFill="background1"/>
          </w:tcPr>
          <w:p w14:paraId="58B6BD6D" w14:textId="77777777" w:rsidR="00E6560B" w:rsidRPr="00313547" w:rsidRDefault="00E6560B" w:rsidP="005D36DB">
            <w:pPr>
              <w:rPr>
                <w:sz w:val="20"/>
                <w:szCs w:val="20"/>
              </w:rPr>
            </w:pPr>
          </w:p>
        </w:tc>
        <w:tc>
          <w:tcPr>
            <w:tcW w:w="749" w:type="pct"/>
            <w:shd w:val="clear" w:color="auto" w:fill="FFFFFF" w:themeFill="background1"/>
          </w:tcPr>
          <w:p w14:paraId="758DE04D" w14:textId="77777777" w:rsidR="00E6560B" w:rsidRPr="00313547" w:rsidRDefault="00E6560B" w:rsidP="005D36DB">
            <w:pPr>
              <w:rPr>
                <w:sz w:val="20"/>
                <w:szCs w:val="20"/>
              </w:rPr>
            </w:pPr>
          </w:p>
        </w:tc>
        <w:tc>
          <w:tcPr>
            <w:tcW w:w="511" w:type="pct"/>
            <w:shd w:val="clear" w:color="auto" w:fill="FFFFFF" w:themeFill="background1"/>
          </w:tcPr>
          <w:p w14:paraId="5EE2E4C7" w14:textId="77777777" w:rsidR="00E6560B" w:rsidRPr="00313547" w:rsidRDefault="00E6560B" w:rsidP="005D36DB">
            <w:pPr>
              <w:rPr>
                <w:sz w:val="20"/>
                <w:szCs w:val="20"/>
              </w:rPr>
            </w:pPr>
          </w:p>
        </w:tc>
      </w:tr>
      <w:tr w:rsidR="00E6560B" w:rsidRPr="00313547" w14:paraId="648AE5B9" w14:textId="77777777" w:rsidTr="005D36DB">
        <w:tc>
          <w:tcPr>
            <w:tcW w:w="806" w:type="pct"/>
          </w:tcPr>
          <w:p w14:paraId="71A9BAF2" w14:textId="3D26BFCF" w:rsidR="00E6560B" w:rsidRPr="0090035F" w:rsidRDefault="00E6560B" w:rsidP="005D36DB">
            <w:pPr>
              <w:rPr>
                <w:sz w:val="20"/>
                <w:szCs w:val="20"/>
              </w:rPr>
            </w:pPr>
            <w:r w:rsidRPr="0090035F">
              <w:rPr>
                <w:sz w:val="20"/>
                <w:szCs w:val="20"/>
              </w:rPr>
              <w:t>HTA training</w:t>
            </w:r>
          </w:p>
        </w:tc>
        <w:tc>
          <w:tcPr>
            <w:tcW w:w="1336" w:type="pct"/>
          </w:tcPr>
          <w:p w14:paraId="1775D1C6" w14:textId="77777777" w:rsidR="00E6560B" w:rsidRPr="00313547" w:rsidRDefault="00E6560B" w:rsidP="005D36DB">
            <w:pPr>
              <w:rPr>
                <w:sz w:val="20"/>
                <w:szCs w:val="20"/>
              </w:rPr>
            </w:pPr>
          </w:p>
        </w:tc>
        <w:tc>
          <w:tcPr>
            <w:tcW w:w="898" w:type="pct"/>
            <w:vAlign w:val="center"/>
          </w:tcPr>
          <w:p w14:paraId="1DFD5626" w14:textId="77777777" w:rsidR="00E6560B" w:rsidRPr="00417E8E" w:rsidRDefault="00E6560B" w:rsidP="005D36DB">
            <w:pPr>
              <w:rPr>
                <w:sz w:val="20"/>
                <w:szCs w:val="20"/>
              </w:rPr>
            </w:pPr>
          </w:p>
        </w:tc>
        <w:tc>
          <w:tcPr>
            <w:tcW w:w="700" w:type="pct"/>
            <w:shd w:val="clear" w:color="auto" w:fill="FFFFFF" w:themeFill="background1"/>
          </w:tcPr>
          <w:p w14:paraId="1ADEB2A5" w14:textId="77777777" w:rsidR="00E6560B" w:rsidRPr="00313547" w:rsidRDefault="00E6560B" w:rsidP="005D36DB">
            <w:pPr>
              <w:rPr>
                <w:sz w:val="20"/>
                <w:szCs w:val="20"/>
              </w:rPr>
            </w:pPr>
          </w:p>
        </w:tc>
        <w:tc>
          <w:tcPr>
            <w:tcW w:w="749" w:type="pct"/>
            <w:shd w:val="clear" w:color="auto" w:fill="FFFFFF" w:themeFill="background1"/>
          </w:tcPr>
          <w:p w14:paraId="6C781850" w14:textId="77777777" w:rsidR="00E6560B" w:rsidRPr="00313547" w:rsidRDefault="00E6560B" w:rsidP="005D36DB">
            <w:pPr>
              <w:rPr>
                <w:sz w:val="20"/>
                <w:szCs w:val="20"/>
              </w:rPr>
            </w:pPr>
          </w:p>
        </w:tc>
        <w:tc>
          <w:tcPr>
            <w:tcW w:w="511" w:type="pct"/>
            <w:shd w:val="clear" w:color="auto" w:fill="FFFFFF" w:themeFill="background1"/>
          </w:tcPr>
          <w:p w14:paraId="5649B3FD" w14:textId="77777777" w:rsidR="00E6560B" w:rsidRPr="00313547" w:rsidRDefault="00E6560B" w:rsidP="005D36DB">
            <w:pPr>
              <w:rPr>
                <w:sz w:val="20"/>
                <w:szCs w:val="20"/>
              </w:rPr>
            </w:pPr>
          </w:p>
        </w:tc>
      </w:tr>
      <w:tr w:rsidR="00E6560B" w:rsidRPr="00313547" w14:paraId="0A35A55E" w14:textId="77777777" w:rsidTr="005D36DB">
        <w:tc>
          <w:tcPr>
            <w:tcW w:w="806" w:type="pct"/>
          </w:tcPr>
          <w:p w14:paraId="3F9BCADD" w14:textId="77777777" w:rsidR="00E6560B" w:rsidRPr="0090035F" w:rsidRDefault="00E6560B" w:rsidP="005D36DB">
            <w:pPr>
              <w:rPr>
                <w:sz w:val="20"/>
                <w:szCs w:val="20"/>
              </w:rPr>
            </w:pPr>
            <w:r w:rsidRPr="0090035F">
              <w:rPr>
                <w:sz w:val="20"/>
                <w:szCs w:val="20"/>
              </w:rPr>
              <w:t>MRC Research and Human Tissue Legislation module</w:t>
            </w:r>
          </w:p>
        </w:tc>
        <w:tc>
          <w:tcPr>
            <w:tcW w:w="1336" w:type="pct"/>
          </w:tcPr>
          <w:p w14:paraId="56C26643" w14:textId="77777777" w:rsidR="00E6560B" w:rsidRPr="00313547" w:rsidRDefault="00E6560B" w:rsidP="005D36DB">
            <w:pPr>
              <w:rPr>
                <w:sz w:val="20"/>
                <w:szCs w:val="20"/>
              </w:rPr>
            </w:pPr>
          </w:p>
        </w:tc>
        <w:tc>
          <w:tcPr>
            <w:tcW w:w="898" w:type="pct"/>
            <w:vAlign w:val="center"/>
          </w:tcPr>
          <w:p w14:paraId="7AD9FA58" w14:textId="77777777" w:rsidR="00E6560B" w:rsidRPr="00417E8E" w:rsidRDefault="00E6560B" w:rsidP="005D36DB">
            <w:pPr>
              <w:rPr>
                <w:sz w:val="20"/>
                <w:szCs w:val="20"/>
              </w:rPr>
            </w:pPr>
          </w:p>
        </w:tc>
        <w:tc>
          <w:tcPr>
            <w:tcW w:w="700" w:type="pct"/>
            <w:shd w:val="clear" w:color="auto" w:fill="FFFFFF" w:themeFill="background1"/>
          </w:tcPr>
          <w:p w14:paraId="1765F24A" w14:textId="77777777" w:rsidR="00E6560B" w:rsidRPr="00313547" w:rsidRDefault="00E6560B" w:rsidP="005D36DB">
            <w:pPr>
              <w:rPr>
                <w:sz w:val="20"/>
                <w:szCs w:val="20"/>
              </w:rPr>
            </w:pPr>
          </w:p>
        </w:tc>
        <w:tc>
          <w:tcPr>
            <w:tcW w:w="749" w:type="pct"/>
            <w:shd w:val="clear" w:color="auto" w:fill="FFFFFF" w:themeFill="background1"/>
          </w:tcPr>
          <w:p w14:paraId="3D0CBF26" w14:textId="77777777" w:rsidR="00E6560B" w:rsidRPr="00313547" w:rsidRDefault="00E6560B" w:rsidP="005D36DB">
            <w:pPr>
              <w:rPr>
                <w:sz w:val="20"/>
                <w:szCs w:val="20"/>
              </w:rPr>
            </w:pPr>
          </w:p>
        </w:tc>
        <w:tc>
          <w:tcPr>
            <w:tcW w:w="511" w:type="pct"/>
            <w:shd w:val="clear" w:color="auto" w:fill="FFFFFF" w:themeFill="background1"/>
          </w:tcPr>
          <w:p w14:paraId="2D0DEC79" w14:textId="77777777" w:rsidR="00E6560B" w:rsidRPr="00313547" w:rsidRDefault="00E6560B" w:rsidP="005D36DB">
            <w:pPr>
              <w:rPr>
                <w:sz w:val="20"/>
                <w:szCs w:val="20"/>
              </w:rPr>
            </w:pPr>
          </w:p>
        </w:tc>
      </w:tr>
      <w:tr w:rsidR="00E6560B" w:rsidRPr="00313547" w14:paraId="769F35D8" w14:textId="77777777" w:rsidTr="005D36DB">
        <w:tc>
          <w:tcPr>
            <w:tcW w:w="806" w:type="pct"/>
          </w:tcPr>
          <w:p w14:paraId="372506AB" w14:textId="77777777" w:rsidR="00E6560B" w:rsidRPr="00AB6311" w:rsidRDefault="00E6560B" w:rsidP="005D36DB">
            <w:pPr>
              <w:rPr>
                <w:b/>
                <w:sz w:val="20"/>
                <w:szCs w:val="20"/>
              </w:rPr>
            </w:pPr>
            <w:r w:rsidRPr="00AB6311">
              <w:rPr>
                <w:b/>
                <w:sz w:val="20"/>
                <w:szCs w:val="20"/>
              </w:rPr>
              <w:lastRenderedPageBreak/>
              <w:t>Policies/guidance</w:t>
            </w:r>
          </w:p>
        </w:tc>
        <w:tc>
          <w:tcPr>
            <w:tcW w:w="1336" w:type="pct"/>
          </w:tcPr>
          <w:p w14:paraId="227DAA49" w14:textId="77777777" w:rsidR="00E6560B" w:rsidRPr="00313547" w:rsidRDefault="00E6560B" w:rsidP="005D36DB">
            <w:pPr>
              <w:rPr>
                <w:sz w:val="20"/>
                <w:szCs w:val="20"/>
              </w:rPr>
            </w:pPr>
          </w:p>
        </w:tc>
        <w:tc>
          <w:tcPr>
            <w:tcW w:w="898" w:type="pct"/>
            <w:vAlign w:val="center"/>
          </w:tcPr>
          <w:p w14:paraId="49FA7608" w14:textId="77777777" w:rsidR="00E6560B" w:rsidRPr="00417E8E" w:rsidRDefault="00E6560B" w:rsidP="005D36DB">
            <w:pPr>
              <w:rPr>
                <w:sz w:val="20"/>
                <w:szCs w:val="20"/>
              </w:rPr>
            </w:pPr>
          </w:p>
        </w:tc>
        <w:tc>
          <w:tcPr>
            <w:tcW w:w="700" w:type="pct"/>
            <w:shd w:val="clear" w:color="auto" w:fill="FFFFFF" w:themeFill="background1"/>
          </w:tcPr>
          <w:p w14:paraId="288EDDA2" w14:textId="77777777" w:rsidR="00E6560B" w:rsidRPr="00313547" w:rsidRDefault="00E6560B" w:rsidP="005D36DB">
            <w:pPr>
              <w:rPr>
                <w:sz w:val="20"/>
                <w:szCs w:val="20"/>
              </w:rPr>
            </w:pPr>
          </w:p>
        </w:tc>
        <w:tc>
          <w:tcPr>
            <w:tcW w:w="749" w:type="pct"/>
            <w:shd w:val="clear" w:color="auto" w:fill="FFFFFF" w:themeFill="background1"/>
          </w:tcPr>
          <w:p w14:paraId="0BD969B2" w14:textId="77777777" w:rsidR="00E6560B" w:rsidRPr="00313547" w:rsidRDefault="00E6560B" w:rsidP="005D36DB">
            <w:pPr>
              <w:rPr>
                <w:sz w:val="20"/>
                <w:szCs w:val="20"/>
              </w:rPr>
            </w:pPr>
          </w:p>
        </w:tc>
        <w:tc>
          <w:tcPr>
            <w:tcW w:w="511" w:type="pct"/>
            <w:shd w:val="clear" w:color="auto" w:fill="FFFFFF" w:themeFill="background1"/>
          </w:tcPr>
          <w:p w14:paraId="2EB87CF9" w14:textId="77777777" w:rsidR="00E6560B" w:rsidRPr="00313547" w:rsidRDefault="00E6560B" w:rsidP="005D36DB">
            <w:pPr>
              <w:rPr>
                <w:sz w:val="20"/>
                <w:szCs w:val="20"/>
              </w:rPr>
            </w:pPr>
          </w:p>
        </w:tc>
      </w:tr>
      <w:tr w:rsidR="00E6560B" w:rsidRPr="00313547" w14:paraId="4D01683F" w14:textId="77777777" w:rsidTr="005D36DB">
        <w:tc>
          <w:tcPr>
            <w:tcW w:w="806" w:type="pct"/>
          </w:tcPr>
          <w:p w14:paraId="54E1940E" w14:textId="4D3BF8A2" w:rsidR="00E6560B" w:rsidRPr="0052311B" w:rsidRDefault="00E6560B" w:rsidP="005D36DB">
            <w:pPr>
              <w:rPr>
                <w:sz w:val="20"/>
                <w:szCs w:val="20"/>
              </w:rPr>
            </w:pPr>
            <w:r w:rsidRPr="0052311B">
              <w:rPr>
                <w:sz w:val="20"/>
                <w:szCs w:val="20"/>
              </w:rPr>
              <w:t xml:space="preserve">University </w:t>
            </w:r>
            <w:proofErr w:type="spellStart"/>
            <w:r w:rsidRPr="0052311B">
              <w:rPr>
                <w:sz w:val="20"/>
                <w:szCs w:val="20"/>
              </w:rPr>
              <w:t>Bio</w:t>
            </w:r>
            <w:r w:rsidR="003573F0">
              <w:rPr>
                <w:sz w:val="20"/>
                <w:szCs w:val="20"/>
              </w:rPr>
              <w:t>risk</w:t>
            </w:r>
            <w:proofErr w:type="spellEnd"/>
            <w:r w:rsidR="003573F0">
              <w:rPr>
                <w:sz w:val="20"/>
                <w:szCs w:val="20"/>
              </w:rPr>
              <w:t xml:space="preserve"> </w:t>
            </w:r>
            <w:r w:rsidR="004F7FE9">
              <w:rPr>
                <w:sz w:val="20"/>
                <w:szCs w:val="20"/>
              </w:rPr>
              <w:t>policies and procedures</w:t>
            </w:r>
          </w:p>
        </w:tc>
        <w:tc>
          <w:tcPr>
            <w:tcW w:w="1336" w:type="pct"/>
          </w:tcPr>
          <w:p w14:paraId="6CF9CF33" w14:textId="77777777" w:rsidR="00E6560B" w:rsidRPr="00313547" w:rsidRDefault="00E6560B" w:rsidP="005D36DB">
            <w:pPr>
              <w:rPr>
                <w:sz w:val="20"/>
                <w:szCs w:val="20"/>
              </w:rPr>
            </w:pPr>
          </w:p>
        </w:tc>
        <w:tc>
          <w:tcPr>
            <w:tcW w:w="898" w:type="pct"/>
            <w:vAlign w:val="center"/>
          </w:tcPr>
          <w:p w14:paraId="468EC9DE" w14:textId="77777777" w:rsidR="00E6560B" w:rsidRPr="00417E8E" w:rsidRDefault="00E6560B" w:rsidP="005D36DB">
            <w:pPr>
              <w:rPr>
                <w:sz w:val="20"/>
                <w:szCs w:val="20"/>
              </w:rPr>
            </w:pPr>
          </w:p>
        </w:tc>
        <w:tc>
          <w:tcPr>
            <w:tcW w:w="700" w:type="pct"/>
            <w:shd w:val="clear" w:color="auto" w:fill="FFFFFF" w:themeFill="background1"/>
          </w:tcPr>
          <w:p w14:paraId="6EE32AAE" w14:textId="77777777" w:rsidR="00E6560B" w:rsidRPr="00313547" w:rsidRDefault="00E6560B" w:rsidP="005D36DB">
            <w:pPr>
              <w:rPr>
                <w:sz w:val="20"/>
                <w:szCs w:val="20"/>
              </w:rPr>
            </w:pPr>
          </w:p>
        </w:tc>
        <w:tc>
          <w:tcPr>
            <w:tcW w:w="749" w:type="pct"/>
            <w:shd w:val="clear" w:color="auto" w:fill="FFFFFF" w:themeFill="background1"/>
          </w:tcPr>
          <w:p w14:paraId="1BE937AB" w14:textId="77777777" w:rsidR="00E6560B" w:rsidRPr="00313547" w:rsidRDefault="00E6560B" w:rsidP="005D36DB">
            <w:pPr>
              <w:rPr>
                <w:sz w:val="20"/>
                <w:szCs w:val="20"/>
              </w:rPr>
            </w:pPr>
          </w:p>
        </w:tc>
        <w:tc>
          <w:tcPr>
            <w:tcW w:w="511" w:type="pct"/>
            <w:shd w:val="clear" w:color="auto" w:fill="FFFFFF" w:themeFill="background1"/>
          </w:tcPr>
          <w:p w14:paraId="5D0968AC" w14:textId="77777777" w:rsidR="00E6560B" w:rsidRPr="00313547" w:rsidRDefault="00E6560B" w:rsidP="005D36DB">
            <w:pPr>
              <w:rPr>
                <w:sz w:val="20"/>
                <w:szCs w:val="20"/>
              </w:rPr>
            </w:pPr>
          </w:p>
        </w:tc>
      </w:tr>
      <w:tr w:rsidR="00E6560B" w:rsidRPr="00313547" w14:paraId="43AFAC4B" w14:textId="77777777" w:rsidTr="005D36DB">
        <w:tc>
          <w:tcPr>
            <w:tcW w:w="806" w:type="pct"/>
          </w:tcPr>
          <w:p w14:paraId="4A0929F4" w14:textId="77777777" w:rsidR="00E6560B" w:rsidRPr="0052311B" w:rsidRDefault="00E6560B" w:rsidP="005D36DB">
            <w:pPr>
              <w:rPr>
                <w:sz w:val="20"/>
                <w:szCs w:val="20"/>
              </w:rPr>
            </w:pPr>
            <w:r>
              <w:rPr>
                <w:sz w:val="20"/>
                <w:szCs w:val="20"/>
              </w:rPr>
              <w:t>University Human Tissue Code of Practice</w:t>
            </w:r>
          </w:p>
        </w:tc>
        <w:tc>
          <w:tcPr>
            <w:tcW w:w="1336" w:type="pct"/>
          </w:tcPr>
          <w:p w14:paraId="5C9B5326" w14:textId="77777777" w:rsidR="00E6560B" w:rsidRPr="00313547" w:rsidRDefault="00E6560B" w:rsidP="005D36DB">
            <w:pPr>
              <w:rPr>
                <w:sz w:val="20"/>
                <w:szCs w:val="20"/>
              </w:rPr>
            </w:pPr>
          </w:p>
        </w:tc>
        <w:tc>
          <w:tcPr>
            <w:tcW w:w="898" w:type="pct"/>
            <w:vAlign w:val="center"/>
          </w:tcPr>
          <w:p w14:paraId="4DD1CD05" w14:textId="77777777" w:rsidR="00E6560B" w:rsidRPr="00417E8E" w:rsidRDefault="00E6560B" w:rsidP="005D36DB">
            <w:pPr>
              <w:rPr>
                <w:sz w:val="20"/>
                <w:szCs w:val="20"/>
              </w:rPr>
            </w:pPr>
          </w:p>
        </w:tc>
        <w:tc>
          <w:tcPr>
            <w:tcW w:w="700" w:type="pct"/>
            <w:shd w:val="clear" w:color="auto" w:fill="FFFFFF" w:themeFill="background1"/>
          </w:tcPr>
          <w:p w14:paraId="04B30818" w14:textId="77777777" w:rsidR="00E6560B" w:rsidRPr="00313547" w:rsidRDefault="00E6560B" w:rsidP="005D36DB">
            <w:pPr>
              <w:rPr>
                <w:sz w:val="20"/>
                <w:szCs w:val="20"/>
              </w:rPr>
            </w:pPr>
          </w:p>
        </w:tc>
        <w:tc>
          <w:tcPr>
            <w:tcW w:w="749" w:type="pct"/>
            <w:shd w:val="clear" w:color="auto" w:fill="FFFFFF" w:themeFill="background1"/>
          </w:tcPr>
          <w:p w14:paraId="634A3AF0" w14:textId="77777777" w:rsidR="00E6560B" w:rsidRPr="00313547" w:rsidRDefault="00E6560B" w:rsidP="005D36DB">
            <w:pPr>
              <w:rPr>
                <w:sz w:val="20"/>
                <w:szCs w:val="20"/>
              </w:rPr>
            </w:pPr>
          </w:p>
        </w:tc>
        <w:tc>
          <w:tcPr>
            <w:tcW w:w="511" w:type="pct"/>
            <w:shd w:val="clear" w:color="auto" w:fill="FFFFFF" w:themeFill="background1"/>
          </w:tcPr>
          <w:p w14:paraId="31C3E833" w14:textId="77777777" w:rsidR="00E6560B" w:rsidRPr="00313547" w:rsidRDefault="00E6560B" w:rsidP="005D36DB">
            <w:pPr>
              <w:rPr>
                <w:sz w:val="20"/>
                <w:szCs w:val="20"/>
              </w:rPr>
            </w:pPr>
          </w:p>
        </w:tc>
      </w:tr>
      <w:tr w:rsidR="00E6560B" w:rsidRPr="00313547" w14:paraId="594363E0" w14:textId="77777777" w:rsidTr="005D36DB">
        <w:tc>
          <w:tcPr>
            <w:tcW w:w="806" w:type="pct"/>
          </w:tcPr>
          <w:p w14:paraId="457182D3" w14:textId="77777777" w:rsidR="00E6560B" w:rsidRPr="00F37A5B" w:rsidRDefault="00E6560B" w:rsidP="005D36DB">
            <w:pPr>
              <w:rPr>
                <w:sz w:val="20"/>
                <w:szCs w:val="20"/>
              </w:rPr>
            </w:pPr>
            <w:r>
              <w:rPr>
                <w:b/>
                <w:sz w:val="20"/>
                <w:szCs w:val="20"/>
              </w:rPr>
              <w:t>HTA</w:t>
            </w:r>
            <w:r w:rsidRPr="00AB6311">
              <w:rPr>
                <w:b/>
                <w:sz w:val="20"/>
                <w:szCs w:val="20"/>
              </w:rPr>
              <w:t xml:space="preserve"> documents:</w:t>
            </w:r>
          </w:p>
        </w:tc>
        <w:tc>
          <w:tcPr>
            <w:tcW w:w="1336" w:type="pct"/>
          </w:tcPr>
          <w:p w14:paraId="2EB4C0BB" w14:textId="77777777" w:rsidR="00E6560B" w:rsidRPr="00313547" w:rsidRDefault="00E6560B" w:rsidP="005D36DB">
            <w:pPr>
              <w:rPr>
                <w:sz w:val="20"/>
                <w:szCs w:val="20"/>
              </w:rPr>
            </w:pPr>
          </w:p>
        </w:tc>
        <w:tc>
          <w:tcPr>
            <w:tcW w:w="898" w:type="pct"/>
            <w:vAlign w:val="center"/>
          </w:tcPr>
          <w:p w14:paraId="675284DF" w14:textId="77777777" w:rsidR="00E6560B" w:rsidRPr="00417E8E" w:rsidRDefault="00E6560B" w:rsidP="005D36DB">
            <w:pPr>
              <w:rPr>
                <w:sz w:val="20"/>
                <w:szCs w:val="20"/>
              </w:rPr>
            </w:pPr>
          </w:p>
        </w:tc>
        <w:tc>
          <w:tcPr>
            <w:tcW w:w="700" w:type="pct"/>
            <w:shd w:val="clear" w:color="auto" w:fill="FFFFFF" w:themeFill="background1"/>
          </w:tcPr>
          <w:p w14:paraId="63C04F07" w14:textId="77777777" w:rsidR="00E6560B" w:rsidRPr="00313547" w:rsidRDefault="00E6560B" w:rsidP="005D36DB">
            <w:pPr>
              <w:rPr>
                <w:sz w:val="20"/>
                <w:szCs w:val="20"/>
              </w:rPr>
            </w:pPr>
          </w:p>
        </w:tc>
        <w:tc>
          <w:tcPr>
            <w:tcW w:w="749" w:type="pct"/>
            <w:shd w:val="clear" w:color="auto" w:fill="FFFFFF" w:themeFill="background1"/>
          </w:tcPr>
          <w:p w14:paraId="63A4AE96" w14:textId="77777777" w:rsidR="00E6560B" w:rsidRPr="00313547" w:rsidRDefault="00E6560B" w:rsidP="005D36DB">
            <w:pPr>
              <w:rPr>
                <w:sz w:val="20"/>
                <w:szCs w:val="20"/>
              </w:rPr>
            </w:pPr>
          </w:p>
        </w:tc>
        <w:tc>
          <w:tcPr>
            <w:tcW w:w="511" w:type="pct"/>
            <w:shd w:val="clear" w:color="auto" w:fill="FFFFFF" w:themeFill="background1"/>
          </w:tcPr>
          <w:p w14:paraId="3FCA91AD" w14:textId="77777777" w:rsidR="00E6560B" w:rsidRPr="00313547" w:rsidRDefault="00E6560B" w:rsidP="005D36DB">
            <w:pPr>
              <w:rPr>
                <w:sz w:val="20"/>
                <w:szCs w:val="20"/>
              </w:rPr>
            </w:pPr>
          </w:p>
        </w:tc>
      </w:tr>
      <w:tr w:rsidR="00E6560B" w:rsidRPr="00313547" w14:paraId="274353F1" w14:textId="77777777" w:rsidTr="005D36DB">
        <w:tc>
          <w:tcPr>
            <w:tcW w:w="806" w:type="pct"/>
          </w:tcPr>
          <w:p w14:paraId="095B73E7" w14:textId="77777777" w:rsidR="00E6560B" w:rsidRPr="00AB6311" w:rsidRDefault="00E6560B" w:rsidP="005D36DB">
            <w:pPr>
              <w:rPr>
                <w:sz w:val="20"/>
                <w:szCs w:val="20"/>
              </w:rPr>
            </w:pPr>
            <w:r w:rsidRPr="00AB6311">
              <w:rPr>
                <w:sz w:val="20"/>
                <w:szCs w:val="20"/>
              </w:rPr>
              <w:t>Codes of practice</w:t>
            </w:r>
          </w:p>
        </w:tc>
        <w:tc>
          <w:tcPr>
            <w:tcW w:w="1336" w:type="pct"/>
          </w:tcPr>
          <w:p w14:paraId="147A0B22" w14:textId="77777777" w:rsidR="00E6560B" w:rsidRPr="00313547" w:rsidRDefault="00E6560B" w:rsidP="005D36DB">
            <w:pPr>
              <w:rPr>
                <w:sz w:val="20"/>
                <w:szCs w:val="20"/>
              </w:rPr>
            </w:pPr>
          </w:p>
        </w:tc>
        <w:tc>
          <w:tcPr>
            <w:tcW w:w="898" w:type="pct"/>
            <w:vAlign w:val="center"/>
          </w:tcPr>
          <w:p w14:paraId="2909E341" w14:textId="77777777" w:rsidR="00E6560B" w:rsidRPr="00417E8E" w:rsidRDefault="00E6560B" w:rsidP="005D36DB">
            <w:pPr>
              <w:rPr>
                <w:sz w:val="20"/>
                <w:szCs w:val="20"/>
              </w:rPr>
            </w:pPr>
          </w:p>
        </w:tc>
        <w:tc>
          <w:tcPr>
            <w:tcW w:w="700" w:type="pct"/>
            <w:shd w:val="clear" w:color="auto" w:fill="FFFFFF" w:themeFill="background1"/>
          </w:tcPr>
          <w:p w14:paraId="7B600E86" w14:textId="77777777" w:rsidR="00E6560B" w:rsidRPr="00313547" w:rsidRDefault="00E6560B" w:rsidP="005D36DB">
            <w:pPr>
              <w:rPr>
                <w:sz w:val="20"/>
                <w:szCs w:val="20"/>
              </w:rPr>
            </w:pPr>
          </w:p>
        </w:tc>
        <w:tc>
          <w:tcPr>
            <w:tcW w:w="749" w:type="pct"/>
            <w:shd w:val="clear" w:color="auto" w:fill="FFFFFF" w:themeFill="background1"/>
          </w:tcPr>
          <w:p w14:paraId="2F1A29AF" w14:textId="77777777" w:rsidR="00E6560B" w:rsidRPr="00313547" w:rsidRDefault="00E6560B" w:rsidP="005D36DB">
            <w:pPr>
              <w:rPr>
                <w:sz w:val="20"/>
                <w:szCs w:val="20"/>
              </w:rPr>
            </w:pPr>
          </w:p>
        </w:tc>
        <w:tc>
          <w:tcPr>
            <w:tcW w:w="511" w:type="pct"/>
            <w:shd w:val="clear" w:color="auto" w:fill="FFFFFF" w:themeFill="background1"/>
          </w:tcPr>
          <w:p w14:paraId="19BDF3EC" w14:textId="77777777" w:rsidR="00E6560B" w:rsidRPr="00313547" w:rsidRDefault="00E6560B" w:rsidP="005D36DB">
            <w:pPr>
              <w:rPr>
                <w:sz w:val="20"/>
                <w:szCs w:val="20"/>
              </w:rPr>
            </w:pPr>
          </w:p>
        </w:tc>
      </w:tr>
      <w:tr w:rsidR="00E6560B" w:rsidRPr="00313547" w14:paraId="65347316" w14:textId="77777777" w:rsidTr="005D36DB">
        <w:tc>
          <w:tcPr>
            <w:tcW w:w="806" w:type="pct"/>
          </w:tcPr>
          <w:p w14:paraId="5CF808A9" w14:textId="77777777" w:rsidR="00E6560B" w:rsidRPr="00162F24" w:rsidRDefault="00E6560B" w:rsidP="005D36DB">
            <w:pPr>
              <w:rPr>
                <w:b/>
                <w:sz w:val="20"/>
                <w:szCs w:val="20"/>
              </w:rPr>
            </w:pPr>
            <w:r w:rsidRPr="00162F24">
              <w:rPr>
                <w:b/>
                <w:sz w:val="20"/>
                <w:szCs w:val="20"/>
              </w:rPr>
              <w:t>Risk assessments relevant to work/laboratory:</w:t>
            </w:r>
          </w:p>
        </w:tc>
        <w:tc>
          <w:tcPr>
            <w:tcW w:w="1336" w:type="pct"/>
          </w:tcPr>
          <w:p w14:paraId="32711981" w14:textId="77777777" w:rsidR="00E6560B" w:rsidRPr="00313547" w:rsidRDefault="00E6560B" w:rsidP="005D36DB">
            <w:pPr>
              <w:rPr>
                <w:sz w:val="20"/>
                <w:szCs w:val="20"/>
              </w:rPr>
            </w:pPr>
          </w:p>
        </w:tc>
        <w:tc>
          <w:tcPr>
            <w:tcW w:w="898" w:type="pct"/>
            <w:vAlign w:val="center"/>
          </w:tcPr>
          <w:p w14:paraId="37EC4919" w14:textId="77777777" w:rsidR="00E6560B" w:rsidRPr="00417E8E" w:rsidRDefault="00E6560B" w:rsidP="005D36DB">
            <w:pPr>
              <w:rPr>
                <w:sz w:val="20"/>
                <w:szCs w:val="20"/>
              </w:rPr>
            </w:pPr>
          </w:p>
        </w:tc>
        <w:tc>
          <w:tcPr>
            <w:tcW w:w="700" w:type="pct"/>
            <w:shd w:val="clear" w:color="auto" w:fill="FFFFFF" w:themeFill="background1"/>
          </w:tcPr>
          <w:p w14:paraId="7EBD18BF" w14:textId="77777777" w:rsidR="00E6560B" w:rsidRPr="00313547" w:rsidRDefault="00E6560B" w:rsidP="005D36DB">
            <w:pPr>
              <w:rPr>
                <w:sz w:val="20"/>
                <w:szCs w:val="20"/>
              </w:rPr>
            </w:pPr>
          </w:p>
        </w:tc>
        <w:tc>
          <w:tcPr>
            <w:tcW w:w="749" w:type="pct"/>
            <w:shd w:val="clear" w:color="auto" w:fill="FFFFFF" w:themeFill="background1"/>
          </w:tcPr>
          <w:p w14:paraId="376B6155" w14:textId="77777777" w:rsidR="00E6560B" w:rsidRPr="00313547" w:rsidRDefault="00E6560B" w:rsidP="005D36DB">
            <w:pPr>
              <w:rPr>
                <w:sz w:val="20"/>
                <w:szCs w:val="20"/>
              </w:rPr>
            </w:pPr>
          </w:p>
        </w:tc>
        <w:tc>
          <w:tcPr>
            <w:tcW w:w="511" w:type="pct"/>
            <w:shd w:val="clear" w:color="auto" w:fill="FFFFFF" w:themeFill="background1"/>
          </w:tcPr>
          <w:p w14:paraId="2D81BCCB" w14:textId="77777777" w:rsidR="00E6560B" w:rsidRPr="00313547" w:rsidRDefault="00E6560B" w:rsidP="005D36DB">
            <w:pPr>
              <w:rPr>
                <w:sz w:val="20"/>
                <w:szCs w:val="20"/>
              </w:rPr>
            </w:pPr>
          </w:p>
        </w:tc>
      </w:tr>
      <w:tr w:rsidR="00E6560B" w:rsidRPr="00313547" w14:paraId="5B445CE0" w14:textId="77777777" w:rsidTr="005D36DB">
        <w:tc>
          <w:tcPr>
            <w:tcW w:w="806" w:type="pct"/>
          </w:tcPr>
          <w:p w14:paraId="28300DCD" w14:textId="77777777" w:rsidR="00E6560B" w:rsidRPr="007A7115" w:rsidRDefault="00E6560B" w:rsidP="00B91F8A">
            <w:pPr>
              <w:pStyle w:val="ListParagraph"/>
              <w:numPr>
                <w:ilvl w:val="0"/>
                <w:numId w:val="24"/>
              </w:numPr>
              <w:spacing w:after="0" w:line="240" w:lineRule="auto"/>
              <w:rPr>
                <w:color w:val="C00000"/>
                <w:sz w:val="20"/>
                <w:szCs w:val="20"/>
              </w:rPr>
            </w:pPr>
            <w:r w:rsidRPr="007A7115">
              <w:rPr>
                <w:color w:val="C00000"/>
                <w:sz w:val="20"/>
                <w:szCs w:val="20"/>
              </w:rPr>
              <w:t xml:space="preserve">_ _ _ _ _ </w:t>
            </w:r>
            <w:proofErr w:type="gramStart"/>
            <w:r w:rsidRPr="007A7115">
              <w:rPr>
                <w:color w:val="C00000"/>
                <w:sz w:val="20"/>
                <w:szCs w:val="20"/>
              </w:rPr>
              <w:t>_(</w:t>
            </w:r>
            <w:proofErr w:type="gramEnd"/>
            <w:r w:rsidRPr="007A7115">
              <w:rPr>
                <w:color w:val="C00000"/>
                <w:sz w:val="20"/>
                <w:szCs w:val="20"/>
              </w:rPr>
              <w:t>PI to list)</w:t>
            </w:r>
          </w:p>
        </w:tc>
        <w:tc>
          <w:tcPr>
            <w:tcW w:w="1336" w:type="pct"/>
          </w:tcPr>
          <w:p w14:paraId="568E4025" w14:textId="77777777" w:rsidR="00E6560B" w:rsidRPr="00313547" w:rsidRDefault="00E6560B" w:rsidP="005D36DB">
            <w:pPr>
              <w:rPr>
                <w:sz w:val="20"/>
                <w:szCs w:val="20"/>
              </w:rPr>
            </w:pPr>
          </w:p>
        </w:tc>
        <w:tc>
          <w:tcPr>
            <w:tcW w:w="898" w:type="pct"/>
            <w:vAlign w:val="center"/>
          </w:tcPr>
          <w:p w14:paraId="2A3FC101" w14:textId="77777777" w:rsidR="00E6560B" w:rsidRPr="00417E8E" w:rsidRDefault="00E6560B" w:rsidP="005D36DB">
            <w:pPr>
              <w:rPr>
                <w:sz w:val="20"/>
                <w:szCs w:val="20"/>
              </w:rPr>
            </w:pPr>
          </w:p>
        </w:tc>
        <w:tc>
          <w:tcPr>
            <w:tcW w:w="700" w:type="pct"/>
            <w:shd w:val="clear" w:color="auto" w:fill="FFFFFF" w:themeFill="background1"/>
          </w:tcPr>
          <w:p w14:paraId="6ADC1CFA" w14:textId="77777777" w:rsidR="00E6560B" w:rsidRPr="00313547" w:rsidRDefault="00E6560B" w:rsidP="005D36DB">
            <w:pPr>
              <w:rPr>
                <w:sz w:val="20"/>
                <w:szCs w:val="20"/>
              </w:rPr>
            </w:pPr>
          </w:p>
        </w:tc>
        <w:tc>
          <w:tcPr>
            <w:tcW w:w="749" w:type="pct"/>
            <w:shd w:val="clear" w:color="auto" w:fill="FFFFFF" w:themeFill="background1"/>
          </w:tcPr>
          <w:p w14:paraId="195085F4" w14:textId="77777777" w:rsidR="00E6560B" w:rsidRPr="00313547" w:rsidRDefault="00E6560B" w:rsidP="005D36DB">
            <w:pPr>
              <w:rPr>
                <w:sz w:val="20"/>
                <w:szCs w:val="20"/>
              </w:rPr>
            </w:pPr>
          </w:p>
        </w:tc>
        <w:tc>
          <w:tcPr>
            <w:tcW w:w="511" w:type="pct"/>
            <w:shd w:val="clear" w:color="auto" w:fill="FFFFFF" w:themeFill="background1"/>
          </w:tcPr>
          <w:p w14:paraId="412FA11B" w14:textId="77777777" w:rsidR="00E6560B" w:rsidRPr="00313547" w:rsidRDefault="00E6560B" w:rsidP="005D36DB">
            <w:pPr>
              <w:rPr>
                <w:sz w:val="20"/>
                <w:szCs w:val="20"/>
              </w:rPr>
            </w:pPr>
          </w:p>
        </w:tc>
      </w:tr>
      <w:tr w:rsidR="00E6560B" w:rsidRPr="00313547" w14:paraId="46467BF2" w14:textId="77777777" w:rsidTr="005D36DB">
        <w:tc>
          <w:tcPr>
            <w:tcW w:w="806" w:type="pct"/>
          </w:tcPr>
          <w:p w14:paraId="68ABF5EF" w14:textId="77777777" w:rsidR="00E6560B" w:rsidRDefault="00E6560B" w:rsidP="005D36DB">
            <w:pPr>
              <w:rPr>
                <w:sz w:val="20"/>
                <w:szCs w:val="20"/>
              </w:rPr>
            </w:pPr>
            <w:r>
              <w:rPr>
                <w:sz w:val="20"/>
                <w:szCs w:val="20"/>
              </w:rPr>
              <w:t>Laboratory experience</w:t>
            </w:r>
          </w:p>
        </w:tc>
        <w:tc>
          <w:tcPr>
            <w:tcW w:w="1336" w:type="pct"/>
          </w:tcPr>
          <w:p w14:paraId="2806B5A1" w14:textId="77777777" w:rsidR="00E6560B" w:rsidRPr="00313547" w:rsidRDefault="00E6560B" w:rsidP="005D36DB">
            <w:pPr>
              <w:rPr>
                <w:sz w:val="20"/>
                <w:szCs w:val="20"/>
              </w:rPr>
            </w:pPr>
          </w:p>
        </w:tc>
        <w:tc>
          <w:tcPr>
            <w:tcW w:w="898" w:type="pct"/>
            <w:vAlign w:val="center"/>
          </w:tcPr>
          <w:p w14:paraId="2472B93B" w14:textId="77777777" w:rsidR="00E6560B" w:rsidRPr="00417E8E" w:rsidRDefault="00E6560B" w:rsidP="005D36DB">
            <w:pPr>
              <w:rPr>
                <w:sz w:val="20"/>
                <w:szCs w:val="20"/>
              </w:rPr>
            </w:pPr>
          </w:p>
        </w:tc>
        <w:tc>
          <w:tcPr>
            <w:tcW w:w="700" w:type="pct"/>
            <w:shd w:val="clear" w:color="auto" w:fill="FFFFFF" w:themeFill="background1"/>
          </w:tcPr>
          <w:p w14:paraId="6038DACF" w14:textId="77777777" w:rsidR="00E6560B" w:rsidRPr="00313547" w:rsidRDefault="00E6560B" w:rsidP="005D36DB">
            <w:pPr>
              <w:rPr>
                <w:sz w:val="20"/>
                <w:szCs w:val="20"/>
              </w:rPr>
            </w:pPr>
          </w:p>
        </w:tc>
        <w:tc>
          <w:tcPr>
            <w:tcW w:w="749" w:type="pct"/>
            <w:shd w:val="clear" w:color="auto" w:fill="FFFFFF" w:themeFill="background1"/>
          </w:tcPr>
          <w:p w14:paraId="002F10E5" w14:textId="77777777" w:rsidR="00E6560B" w:rsidRPr="00313547" w:rsidRDefault="00E6560B" w:rsidP="005D36DB">
            <w:pPr>
              <w:rPr>
                <w:sz w:val="20"/>
                <w:szCs w:val="20"/>
              </w:rPr>
            </w:pPr>
          </w:p>
        </w:tc>
        <w:tc>
          <w:tcPr>
            <w:tcW w:w="511" w:type="pct"/>
            <w:shd w:val="clear" w:color="auto" w:fill="FFFFFF" w:themeFill="background1"/>
          </w:tcPr>
          <w:p w14:paraId="28A7BE91" w14:textId="77777777" w:rsidR="00E6560B" w:rsidRPr="00313547" w:rsidRDefault="00E6560B" w:rsidP="005D36DB">
            <w:pPr>
              <w:rPr>
                <w:sz w:val="20"/>
                <w:szCs w:val="20"/>
              </w:rPr>
            </w:pPr>
          </w:p>
        </w:tc>
      </w:tr>
      <w:tr w:rsidR="00E6560B" w:rsidRPr="00313547" w14:paraId="7BFE1B43" w14:textId="77777777" w:rsidTr="005D36DB">
        <w:tc>
          <w:tcPr>
            <w:tcW w:w="806" w:type="pct"/>
          </w:tcPr>
          <w:p w14:paraId="190DCEC7" w14:textId="77777777" w:rsidR="00E6560B" w:rsidRDefault="00E6560B" w:rsidP="005D36DB">
            <w:pPr>
              <w:rPr>
                <w:sz w:val="20"/>
                <w:szCs w:val="20"/>
              </w:rPr>
            </w:pPr>
            <w:r>
              <w:rPr>
                <w:sz w:val="20"/>
                <w:szCs w:val="20"/>
              </w:rPr>
              <w:t>Good microbiological practice (</w:t>
            </w:r>
            <w:r w:rsidRPr="00CA7225">
              <w:rPr>
                <w:b/>
                <w:sz w:val="20"/>
                <w:szCs w:val="20"/>
              </w:rPr>
              <w:t>theoretical/practica</w:t>
            </w:r>
            <w:r>
              <w:rPr>
                <w:sz w:val="20"/>
                <w:szCs w:val="20"/>
              </w:rPr>
              <w:t>l)</w:t>
            </w:r>
          </w:p>
        </w:tc>
        <w:tc>
          <w:tcPr>
            <w:tcW w:w="1336" w:type="pct"/>
          </w:tcPr>
          <w:p w14:paraId="41C2764B" w14:textId="77777777" w:rsidR="00E6560B" w:rsidRPr="00313547" w:rsidRDefault="00E6560B" w:rsidP="005D36DB">
            <w:pPr>
              <w:rPr>
                <w:sz w:val="20"/>
                <w:szCs w:val="20"/>
              </w:rPr>
            </w:pPr>
          </w:p>
        </w:tc>
        <w:tc>
          <w:tcPr>
            <w:tcW w:w="898" w:type="pct"/>
            <w:vAlign w:val="center"/>
          </w:tcPr>
          <w:p w14:paraId="5C40F875" w14:textId="77777777" w:rsidR="00E6560B" w:rsidRPr="00417E8E" w:rsidRDefault="00E6560B" w:rsidP="005D36DB">
            <w:pPr>
              <w:rPr>
                <w:sz w:val="20"/>
                <w:szCs w:val="20"/>
              </w:rPr>
            </w:pPr>
          </w:p>
        </w:tc>
        <w:tc>
          <w:tcPr>
            <w:tcW w:w="700" w:type="pct"/>
            <w:shd w:val="clear" w:color="auto" w:fill="FFFFFF" w:themeFill="background1"/>
          </w:tcPr>
          <w:p w14:paraId="438878D8" w14:textId="77777777" w:rsidR="00E6560B" w:rsidRPr="00313547" w:rsidRDefault="00E6560B" w:rsidP="005D36DB">
            <w:pPr>
              <w:rPr>
                <w:sz w:val="20"/>
                <w:szCs w:val="20"/>
              </w:rPr>
            </w:pPr>
          </w:p>
        </w:tc>
        <w:tc>
          <w:tcPr>
            <w:tcW w:w="749" w:type="pct"/>
            <w:shd w:val="clear" w:color="auto" w:fill="FFFFFF" w:themeFill="background1"/>
          </w:tcPr>
          <w:p w14:paraId="6590D63A" w14:textId="77777777" w:rsidR="00E6560B" w:rsidRPr="00313547" w:rsidRDefault="00E6560B" w:rsidP="005D36DB">
            <w:pPr>
              <w:rPr>
                <w:sz w:val="20"/>
                <w:szCs w:val="20"/>
              </w:rPr>
            </w:pPr>
          </w:p>
        </w:tc>
        <w:tc>
          <w:tcPr>
            <w:tcW w:w="511" w:type="pct"/>
            <w:shd w:val="clear" w:color="auto" w:fill="FFFFFF" w:themeFill="background1"/>
          </w:tcPr>
          <w:p w14:paraId="00774E29" w14:textId="77777777" w:rsidR="00E6560B" w:rsidRPr="00313547" w:rsidRDefault="00E6560B" w:rsidP="005D36DB">
            <w:pPr>
              <w:rPr>
                <w:sz w:val="20"/>
                <w:szCs w:val="20"/>
              </w:rPr>
            </w:pPr>
          </w:p>
        </w:tc>
      </w:tr>
      <w:tr w:rsidR="00E6560B" w:rsidRPr="00313547" w14:paraId="6DE68F4E" w14:textId="77777777" w:rsidTr="005D36DB">
        <w:tc>
          <w:tcPr>
            <w:tcW w:w="806" w:type="pct"/>
          </w:tcPr>
          <w:p w14:paraId="5E68C529" w14:textId="77777777" w:rsidR="00E6560B" w:rsidRPr="00162F24" w:rsidRDefault="00E6560B" w:rsidP="005D36DB">
            <w:pPr>
              <w:ind w:left="45"/>
              <w:rPr>
                <w:sz w:val="20"/>
                <w:szCs w:val="20"/>
              </w:rPr>
            </w:pPr>
            <w:r w:rsidRPr="00162F24">
              <w:rPr>
                <w:sz w:val="20"/>
                <w:szCs w:val="20"/>
              </w:rPr>
              <w:t xml:space="preserve">Laboratory rules </w:t>
            </w:r>
          </w:p>
        </w:tc>
        <w:tc>
          <w:tcPr>
            <w:tcW w:w="1336" w:type="pct"/>
          </w:tcPr>
          <w:p w14:paraId="7460A9F5" w14:textId="77777777" w:rsidR="00E6560B" w:rsidRPr="00313547" w:rsidRDefault="00E6560B" w:rsidP="005D36DB">
            <w:pPr>
              <w:rPr>
                <w:sz w:val="20"/>
                <w:szCs w:val="20"/>
              </w:rPr>
            </w:pPr>
          </w:p>
        </w:tc>
        <w:tc>
          <w:tcPr>
            <w:tcW w:w="898" w:type="pct"/>
            <w:vAlign w:val="center"/>
          </w:tcPr>
          <w:p w14:paraId="3B6503B5" w14:textId="77777777" w:rsidR="00E6560B" w:rsidRPr="00417E8E" w:rsidRDefault="00E6560B" w:rsidP="005D36DB">
            <w:pPr>
              <w:rPr>
                <w:sz w:val="20"/>
                <w:szCs w:val="20"/>
              </w:rPr>
            </w:pPr>
          </w:p>
        </w:tc>
        <w:tc>
          <w:tcPr>
            <w:tcW w:w="700" w:type="pct"/>
            <w:shd w:val="clear" w:color="auto" w:fill="FFFFFF" w:themeFill="background1"/>
          </w:tcPr>
          <w:p w14:paraId="2D4BF937" w14:textId="77777777" w:rsidR="00E6560B" w:rsidRPr="00313547" w:rsidRDefault="00E6560B" w:rsidP="005D36DB">
            <w:pPr>
              <w:rPr>
                <w:sz w:val="20"/>
                <w:szCs w:val="20"/>
              </w:rPr>
            </w:pPr>
          </w:p>
        </w:tc>
        <w:tc>
          <w:tcPr>
            <w:tcW w:w="749" w:type="pct"/>
            <w:shd w:val="clear" w:color="auto" w:fill="FFFFFF" w:themeFill="background1"/>
          </w:tcPr>
          <w:p w14:paraId="56A4913D" w14:textId="77777777" w:rsidR="00E6560B" w:rsidRPr="00313547" w:rsidRDefault="00E6560B" w:rsidP="005D36DB">
            <w:pPr>
              <w:rPr>
                <w:sz w:val="20"/>
                <w:szCs w:val="20"/>
              </w:rPr>
            </w:pPr>
          </w:p>
        </w:tc>
        <w:tc>
          <w:tcPr>
            <w:tcW w:w="511" w:type="pct"/>
            <w:shd w:val="clear" w:color="auto" w:fill="FFFFFF" w:themeFill="background1"/>
          </w:tcPr>
          <w:p w14:paraId="0264BE56" w14:textId="77777777" w:rsidR="00E6560B" w:rsidRPr="00313547" w:rsidRDefault="00E6560B" w:rsidP="005D36DB">
            <w:pPr>
              <w:rPr>
                <w:sz w:val="20"/>
                <w:szCs w:val="20"/>
              </w:rPr>
            </w:pPr>
          </w:p>
        </w:tc>
      </w:tr>
      <w:tr w:rsidR="00E6560B" w:rsidRPr="00313547" w14:paraId="32E9E349" w14:textId="77777777" w:rsidTr="005D36DB">
        <w:tc>
          <w:tcPr>
            <w:tcW w:w="806" w:type="pct"/>
          </w:tcPr>
          <w:p w14:paraId="411487AB" w14:textId="77777777" w:rsidR="00E6560B" w:rsidRPr="00162F24" w:rsidRDefault="00E6560B" w:rsidP="005D36DB">
            <w:pPr>
              <w:ind w:left="45"/>
              <w:rPr>
                <w:b/>
                <w:sz w:val="20"/>
                <w:szCs w:val="20"/>
              </w:rPr>
            </w:pPr>
            <w:r w:rsidRPr="00162F24">
              <w:rPr>
                <w:b/>
                <w:sz w:val="20"/>
                <w:szCs w:val="20"/>
              </w:rPr>
              <w:t>Standard Operating Procedures</w:t>
            </w:r>
            <w:r>
              <w:rPr>
                <w:b/>
                <w:sz w:val="20"/>
                <w:szCs w:val="20"/>
              </w:rPr>
              <w:t>:</w:t>
            </w:r>
          </w:p>
        </w:tc>
        <w:tc>
          <w:tcPr>
            <w:tcW w:w="1336" w:type="pct"/>
          </w:tcPr>
          <w:p w14:paraId="4BA57DEB" w14:textId="77777777" w:rsidR="00E6560B" w:rsidRPr="00313547" w:rsidRDefault="00E6560B" w:rsidP="005D36DB">
            <w:pPr>
              <w:rPr>
                <w:sz w:val="20"/>
                <w:szCs w:val="20"/>
              </w:rPr>
            </w:pPr>
          </w:p>
        </w:tc>
        <w:tc>
          <w:tcPr>
            <w:tcW w:w="898" w:type="pct"/>
            <w:vAlign w:val="center"/>
          </w:tcPr>
          <w:p w14:paraId="26DC6F33" w14:textId="77777777" w:rsidR="00E6560B" w:rsidRPr="00417E8E" w:rsidRDefault="00E6560B" w:rsidP="005D36DB">
            <w:pPr>
              <w:rPr>
                <w:sz w:val="20"/>
                <w:szCs w:val="20"/>
              </w:rPr>
            </w:pPr>
          </w:p>
        </w:tc>
        <w:tc>
          <w:tcPr>
            <w:tcW w:w="700" w:type="pct"/>
            <w:shd w:val="clear" w:color="auto" w:fill="FFFFFF" w:themeFill="background1"/>
          </w:tcPr>
          <w:p w14:paraId="71A2AE4C" w14:textId="77777777" w:rsidR="00E6560B" w:rsidRPr="00313547" w:rsidRDefault="00E6560B" w:rsidP="005D36DB">
            <w:pPr>
              <w:rPr>
                <w:sz w:val="20"/>
                <w:szCs w:val="20"/>
              </w:rPr>
            </w:pPr>
          </w:p>
        </w:tc>
        <w:tc>
          <w:tcPr>
            <w:tcW w:w="749" w:type="pct"/>
            <w:shd w:val="clear" w:color="auto" w:fill="FFFFFF" w:themeFill="background1"/>
          </w:tcPr>
          <w:p w14:paraId="09059159" w14:textId="77777777" w:rsidR="00E6560B" w:rsidRPr="00313547" w:rsidRDefault="00E6560B" w:rsidP="005D36DB">
            <w:pPr>
              <w:rPr>
                <w:sz w:val="20"/>
                <w:szCs w:val="20"/>
              </w:rPr>
            </w:pPr>
          </w:p>
        </w:tc>
        <w:tc>
          <w:tcPr>
            <w:tcW w:w="511" w:type="pct"/>
            <w:shd w:val="clear" w:color="auto" w:fill="FFFFFF" w:themeFill="background1"/>
          </w:tcPr>
          <w:p w14:paraId="35A5C100" w14:textId="77777777" w:rsidR="00E6560B" w:rsidRPr="00313547" w:rsidRDefault="00E6560B" w:rsidP="005D36DB">
            <w:pPr>
              <w:rPr>
                <w:sz w:val="20"/>
                <w:szCs w:val="20"/>
              </w:rPr>
            </w:pPr>
          </w:p>
        </w:tc>
      </w:tr>
      <w:tr w:rsidR="00E6560B" w:rsidRPr="00313547" w14:paraId="111ED6F5" w14:textId="77777777" w:rsidTr="005D36DB">
        <w:tc>
          <w:tcPr>
            <w:tcW w:w="806" w:type="pct"/>
          </w:tcPr>
          <w:p w14:paraId="51C12988" w14:textId="77777777" w:rsidR="00E6560B" w:rsidRPr="00A132DB" w:rsidRDefault="00E6560B" w:rsidP="00B91F8A">
            <w:pPr>
              <w:pStyle w:val="ListParagraph"/>
              <w:numPr>
                <w:ilvl w:val="0"/>
                <w:numId w:val="24"/>
              </w:numPr>
              <w:spacing w:after="0" w:line="240" w:lineRule="auto"/>
              <w:rPr>
                <w:color w:val="C00000"/>
                <w:sz w:val="20"/>
                <w:szCs w:val="20"/>
              </w:rPr>
            </w:pPr>
            <w:r w:rsidRPr="00A132DB">
              <w:rPr>
                <w:color w:val="C00000"/>
                <w:sz w:val="20"/>
                <w:szCs w:val="20"/>
              </w:rPr>
              <w:t xml:space="preserve">_ _ _ _ _ </w:t>
            </w:r>
            <w:proofErr w:type="gramStart"/>
            <w:r w:rsidRPr="00A132DB">
              <w:rPr>
                <w:color w:val="C00000"/>
                <w:sz w:val="20"/>
                <w:szCs w:val="20"/>
              </w:rPr>
              <w:t>_(</w:t>
            </w:r>
            <w:proofErr w:type="gramEnd"/>
            <w:r w:rsidRPr="00A132DB">
              <w:rPr>
                <w:color w:val="C00000"/>
                <w:sz w:val="20"/>
                <w:szCs w:val="20"/>
              </w:rPr>
              <w:t>PI to list)</w:t>
            </w:r>
          </w:p>
        </w:tc>
        <w:tc>
          <w:tcPr>
            <w:tcW w:w="1336" w:type="pct"/>
          </w:tcPr>
          <w:p w14:paraId="7A632137" w14:textId="77777777" w:rsidR="00E6560B" w:rsidRPr="00313547" w:rsidRDefault="00E6560B" w:rsidP="005D36DB">
            <w:pPr>
              <w:rPr>
                <w:sz w:val="20"/>
                <w:szCs w:val="20"/>
              </w:rPr>
            </w:pPr>
          </w:p>
        </w:tc>
        <w:tc>
          <w:tcPr>
            <w:tcW w:w="898" w:type="pct"/>
            <w:vAlign w:val="center"/>
          </w:tcPr>
          <w:p w14:paraId="47FE40E1" w14:textId="77777777" w:rsidR="00E6560B" w:rsidRPr="00417E8E" w:rsidRDefault="00E6560B" w:rsidP="005D36DB">
            <w:pPr>
              <w:rPr>
                <w:sz w:val="20"/>
                <w:szCs w:val="20"/>
              </w:rPr>
            </w:pPr>
          </w:p>
        </w:tc>
        <w:tc>
          <w:tcPr>
            <w:tcW w:w="700" w:type="pct"/>
            <w:shd w:val="clear" w:color="auto" w:fill="FFFFFF" w:themeFill="background1"/>
          </w:tcPr>
          <w:p w14:paraId="000BC1FF" w14:textId="77777777" w:rsidR="00E6560B" w:rsidRPr="00313547" w:rsidRDefault="00E6560B" w:rsidP="005D36DB">
            <w:pPr>
              <w:rPr>
                <w:sz w:val="20"/>
                <w:szCs w:val="20"/>
              </w:rPr>
            </w:pPr>
          </w:p>
        </w:tc>
        <w:tc>
          <w:tcPr>
            <w:tcW w:w="749" w:type="pct"/>
            <w:shd w:val="clear" w:color="auto" w:fill="FFFFFF" w:themeFill="background1"/>
          </w:tcPr>
          <w:p w14:paraId="5E1E0756" w14:textId="77777777" w:rsidR="00E6560B" w:rsidRPr="00313547" w:rsidRDefault="00E6560B" w:rsidP="005D36DB">
            <w:pPr>
              <w:rPr>
                <w:sz w:val="20"/>
                <w:szCs w:val="20"/>
              </w:rPr>
            </w:pPr>
          </w:p>
        </w:tc>
        <w:tc>
          <w:tcPr>
            <w:tcW w:w="511" w:type="pct"/>
            <w:shd w:val="clear" w:color="auto" w:fill="FFFFFF" w:themeFill="background1"/>
          </w:tcPr>
          <w:p w14:paraId="410C54D2" w14:textId="77777777" w:rsidR="00E6560B" w:rsidRPr="00313547" w:rsidRDefault="00E6560B" w:rsidP="005D36DB">
            <w:pPr>
              <w:rPr>
                <w:sz w:val="20"/>
                <w:szCs w:val="20"/>
              </w:rPr>
            </w:pPr>
          </w:p>
        </w:tc>
      </w:tr>
      <w:tr w:rsidR="00E6560B" w:rsidRPr="00313547" w14:paraId="35452F0D" w14:textId="77777777" w:rsidTr="005D36DB">
        <w:tc>
          <w:tcPr>
            <w:tcW w:w="806" w:type="pct"/>
          </w:tcPr>
          <w:p w14:paraId="6729203C" w14:textId="77777777" w:rsidR="00E6560B" w:rsidRPr="00F37A5B" w:rsidRDefault="00E6560B" w:rsidP="005D36DB">
            <w:pPr>
              <w:rPr>
                <w:sz w:val="20"/>
                <w:szCs w:val="20"/>
              </w:rPr>
            </w:pPr>
          </w:p>
        </w:tc>
        <w:tc>
          <w:tcPr>
            <w:tcW w:w="1336" w:type="pct"/>
          </w:tcPr>
          <w:p w14:paraId="2FC69695" w14:textId="77777777" w:rsidR="00E6560B" w:rsidRPr="00313547" w:rsidRDefault="00E6560B" w:rsidP="005D36DB">
            <w:pPr>
              <w:rPr>
                <w:sz w:val="20"/>
                <w:szCs w:val="20"/>
              </w:rPr>
            </w:pPr>
          </w:p>
        </w:tc>
        <w:tc>
          <w:tcPr>
            <w:tcW w:w="898" w:type="pct"/>
            <w:vAlign w:val="center"/>
          </w:tcPr>
          <w:p w14:paraId="708BA479" w14:textId="77777777" w:rsidR="00E6560B" w:rsidRPr="00417E8E" w:rsidRDefault="00E6560B" w:rsidP="005D36DB">
            <w:pPr>
              <w:rPr>
                <w:sz w:val="20"/>
                <w:szCs w:val="20"/>
              </w:rPr>
            </w:pPr>
          </w:p>
        </w:tc>
        <w:tc>
          <w:tcPr>
            <w:tcW w:w="700" w:type="pct"/>
            <w:shd w:val="clear" w:color="auto" w:fill="FFFFFF" w:themeFill="background1"/>
          </w:tcPr>
          <w:p w14:paraId="3831A7B3" w14:textId="77777777" w:rsidR="00E6560B" w:rsidRPr="00313547" w:rsidRDefault="00E6560B" w:rsidP="005D36DB">
            <w:pPr>
              <w:rPr>
                <w:sz w:val="20"/>
                <w:szCs w:val="20"/>
              </w:rPr>
            </w:pPr>
          </w:p>
        </w:tc>
        <w:tc>
          <w:tcPr>
            <w:tcW w:w="749" w:type="pct"/>
            <w:shd w:val="clear" w:color="auto" w:fill="FFFFFF" w:themeFill="background1"/>
          </w:tcPr>
          <w:p w14:paraId="63FB4DAD" w14:textId="77777777" w:rsidR="00E6560B" w:rsidRPr="00313547" w:rsidRDefault="00E6560B" w:rsidP="005D36DB">
            <w:pPr>
              <w:rPr>
                <w:sz w:val="20"/>
                <w:szCs w:val="20"/>
              </w:rPr>
            </w:pPr>
          </w:p>
        </w:tc>
        <w:tc>
          <w:tcPr>
            <w:tcW w:w="511" w:type="pct"/>
            <w:shd w:val="clear" w:color="auto" w:fill="FFFFFF" w:themeFill="background1"/>
          </w:tcPr>
          <w:p w14:paraId="3ADFC2E9" w14:textId="77777777" w:rsidR="00E6560B" w:rsidRPr="00313547" w:rsidRDefault="00E6560B" w:rsidP="005D36DB">
            <w:pPr>
              <w:rPr>
                <w:sz w:val="20"/>
                <w:szCs w:val="20"/>
              </w:rPr>
            </w:pPr>
          </w:p>
        </w:tc>
      </w:tr>
      <w:tr w:rsidR="00E6560B" w:rsidRPr="00313547" w14:paraId="4A496B6B" w14:textId="77777777" w:rsidTr="005D36DB">
        <w:tc>
          <w:tcPr>
            <w:tcW w:w="806" w:type="pct"/>
          </w:tcPr>
          <w:p w14:paraId="3A2AC75C" w14:textId="77777777" w:rsidR="00E6560B" w:rsidRPr="00162F24" w:rsidRDefault="00E6560B" w:rsidP="005D36DB">
            <w:pPr>
              <w:ind w:left="45"/>
              <w:rPr>
                <w:sz w:val="20"/>
                <w:szCs w:val="20"/>
              </w:rPr>
            </w:pPr>
            <w:r w:rsidRPr="00162F24">
              <w:rPr>
                <w:sz w:val="20"/>
                <w:szCs w:val="20"/>
              </w:rPr>
              <w:t>Laboratory testing/maintenance requirements</w:t>
            </w:r>
          </w:p>
        </w:tc>
        <w:tc>
          <w:tcPr>
            <w:tcW w:w="1336" w:type="pct"/>
          </w:tcPr>
          <w:p w14:paraId="162EF2C2" w14:textId="77777777" w:rsidR="00E6560B" w:rsidRPr="00313547" w:rsidRDefault="00E6560B" w:rsidP="005D36DB">
            <w:pPr>
              <w:rPr>
                <w:sz w:val="20"/>
                <w:szCs w:val="20"/>
              </w:rPr>
            </w:pPr>
          </w:p>
        </w:tc>
        <w:tc>
          <w:tcPr>
            <w:tcW w:w="898" w:type="pct"/>
            <w:vAlign w:val="center"/>
          </w:tcPr>
          <w:p w14:paraId="2223CA41" w14:textId="77777777" w:rsidR="00E6560B" w:rsidRPr="00417E8E" w:rsidRDefault="00E6560B" w:rsidP="005D36DB">
            <w:pPr>
              <w:rPr>
                <w:sz w:val="20"/>
                <w:szCs w:val="20"/>
              </w:rPr>
            </w:pPr>
          </w:p>
        </w:tc>
        <w:tc>
          <w:tcPr>
            <w:tcW w:w="700" w:type="pct"/>
            <w:shd w:val="clear" w:color="auto" w:fill="FFFFFF" w:themeFill="background1"/>
          </w:tcPr>
          <w:p w14:paraId="5212E7EB" w14:textId="77777777" w:rsidR="00E6560B" w:rsidRPr="00313547" w:rsidRDefault="00E6560B" w:rsidP="005D36DB">
            <w:pPr>
              <w:rPr>
                <w:sz w:val="20"/>
                <w:szCs w:val="20"/>
              </w:rPr>
            </w:pPr>
          </w:p>
        </w:tc>
        <w:tc>
          <w:tcPr>
            <w:tcW w:w="749" w:type="pct"/>
            <w:shd w:val="clear" w:color="auto" w:fill="FFFFFF" w:themeFill="background1"/>
          </w:tcPr>
          <w:p w14:paraId="3A580713" w14:textId="77777777" w:rsidR="00E6560B" w:rsidRPr="00313547" w:rsidRDefault="00E6560B" w:rsidP="005D36DB">
            <w:pPr>
              <w:rPr>
                <w:sz w:val="20"/>
                <w:szCs w:val="20"/>
              </w:rPr>
            </w:pPr>
          </w:p>
        </w:tc>
        <w:tc>
          <w:tcPr>
            <w:tcW w:w="511" w:type="pct"/>
            <w:shd w:val="clear" w:color="auto" w:fill="FFFFFF" w:themeFill="background1"/>
          </w:tcPr>
          <w:p w14:paraId="5E144289" w14:textId="77777777" w:rsidR="00E6560B" w:rsidRPr="00313547" w:rsidRDefault="00E6560B" w:rsidP="005D36DB">
            <w:pPr>
              <w:rPr>
                <w:sz w:val="20"/>
                <w:szCs w:val="20"/>
              </w:rPr>
            </w:pPr>
          </w:p>
        </w:tc>
      </w:tr>
      <w:tr w:rsidR="00E6560B" w:rsidRPr="00313547" w14:paraId="3D255BFA" w14:textId="77777777" w:rsidTr="005D36DB">
        <w:tc>
          <w:tcPr>
            <w:tcW w:w="806" w:type="pct"/>
          </w:tcPr>
          <w:p w14:paraId="7DAAC60D" w14:textId="77777777" w:rsidR="00E6560B" w:rsidRPr="00162F24" w:rsidRDefault="00E6560B" w:rsidP="005D36DB">
            <w:pPr>
              <w:ind w:left="45"/>
              <w:rPr>
                <w:sz w:val="20"/>
                <w:szCs w:val="20"/>
              </w:rPr>
            </w:pPr>
            <w:r w:rsidRPr="00162F24">
              <w:rPr>
                <w:sz w:val="20"/>
                <w:szCs w:val="20"/>
              </w:rPr>
              <w:t>Laboratory inspection requirements</w:t>
            </w:r>
          </w:p>
        </w:tc>
        <w:tc>
          <w:tcPr>
            <w:tcW w:w="1336" w:type="pct"/>
          </w:tcPr>
          <w:p w14:paraId="1B7CED4A" w14:textId="77777777" w:rsidR="00E6560B" w:rsidRPr="00313547" w:rsidRDefault="00E6560B" w:rsidP="005D36DB">
            <w:pPr>
              <w:rPr>
                <w:sz w:val="20"/>
                <w:szCs w:val="20"/>
              </w:rPr>
            </w:pPr>
          </w:p>
        </w:tc>
        <w:tc>
          <w:tcPr>
            <w:tcW w:w="898" w:type="pct"/>
            <w:vAlign w:val="center"/>
          </w:tcPr>
          <w:p w14:paraId="22A8006F" w14:textId="77777777" w:rsidR="00E6560B" w:rsidRPr="00417E8E" w:rsidRDefault="00E6560B" w:rsidP="005D36DB">
            <w:pPr>
              <w:rPr>
                <w:sz w:val="20"/>
                <w:szCs w:val="20"/>
              </w:rPr>
            </w:pPr>
          </w:p>
        </w:tc>
        <w:tc>
          <w:tcPr>
            <w:tcW w:w="700" w:type="pct"/>
            <w:shd w:val="clear" w:color="auto" w:fill="FFFFFF" w:themeFill="background1"/>
          </w:tcPr>
          <w:p w14:paraId="22255FEB" w14:textId="77777777" w:rsidR="00E6560B" w:rsidRPr="00313547" w:rsidRDefault="00E6560B" w:rsidP="005D36DB">
            <w:pPr>
              <w:rPr>
                <w:sz w:val="20"/>
                <w:szCs w:val="20"/>
              </w:rPr>
            </w:pPr>
          </w:p>
        </w:tc>
        <w:tc>
          <w:tcPr>
            <w:tcW w:w="749" w:type="pct"/>
            <w:shd w:val="clear" w:color="auto" w:fill="FFFFFF" w:themeFill="background1"/>
          </w:tcPr>
          <w:p w14:paraId="0EDD79B0" w14:textId="77777777" w:rsidR="00E6560B" w:rsidRPr="00313547" w:rsidRDefault="00E6560B" w:rsidP="005D36DB">
            <w:pPr>
              <w:rPr>
                <w:sz w:val="20"/>
                <w:szCs w:val="20"/>
              </w:rPr>
            </w:pPr>
          </w:p>
        </w:tc>
        <w:tc>
          <w:tcPr>
            <w:tcW w:w="511" w:type="pct"/>
            <w:shd w:val="clear" w:color="auto" w:fill="FFFFFF" w:themeFill="background1"/>
          </w:tcPr>
          <w:p w14:paraId="61921B12" w14:textId="77777777" w:rsidR="00E6560B" w:rsidRPr="00313547" w:rsidRDefault="00E6560B" w:rsidP="005D36DB">
            <w:pPr>
              <w:rPr>
                <w:sz w:val="20"/>
                <w:szCs w:val="20"/>
              </w:rPr>
            </w:pPr>
          </w:p>
        </w:tc>
      </w:tr>
      <w:tr w:rsidR="00E6560B" w:rsidRPr="00313547" w14:paraId="7736C27C" w14:textId="77777777" w:rsidTr="005D36DB">
        <w:tc>
          <w:tcPr>
            <w:tcW w:w="806" w:type="pct"/>
          </w:tcPr>
          <w:p w14:paraId="5D4668E0" w14:textId="77777777" w:rsidR="00E6560B" w:rsidRPr="00162F24" w:rsidRDefault="00E6560B" w:rsidP="005D36DB">
            <w:pPr>
              <w:ind w:left="45"/>
              <w:rPr>
                <w:sz w:val="20"/>
                <w:szCs w:val="20"/>
              </w:rPr>
            </w:pPr>
            <w:r w:rsidRPr="00162F24">
              <w:rPr>
                <w:sz w:val="20"/>
                <w:szCs w:val="20"/>
              </w:rPr>
              <w:t>Waste decontamination and disposal</w:t>
            </w:r>
            <w:r>
              <w:rPr>
                <w:sz w:val="20"/>
                <w:szCs w:val="20"/>
              </w:rPr>
              <w:t xml:space="preserve"> (</w:t>
            </w:r>
            <w:r w:rsidRPr="00CA7225">
              <w:rPr>
                <w:b/>
                <w:sz w:val="20"/>
                <w:szCs w:val="20"/>
              </w:rPr>
              <w:t>theoretical/practical</w:t>
            </w:r>
            <w:r>
              <w:rPr>
                <w:sz w:val="20"/>
                <w:szCs w:val="20"/>
              </w:rPr>
              <w:t>)</w:t>
            </w:r>
          </w:p>
        </w:tc>
        <w:tc>
          <w:tcPr>
            <w:tcW w:w="1336" w:type="pct"/>
          </w:tcPr>
          <w:p w14:paraId="71323828" w14:textId="77777777" w:rsidR="00E6560B" w:rsidRPr="00313547" w:rsidRDefault="00E6560B" w:rsidP="005D36DB">
            <w:pPr>
              <w:rPr>
                <w:sz w:val="20"/>
                <w:szCs w:val="20"/>
              </w:rPr>
            </w:pPr>
          </w:p>
        </w:tc>
        <w:tc>
          <w:tcPr>
            <w:tcW w:w="898" w:type="pct"/>
            <w:vAlign w:val="center"/>
          </w:tcPr>
          <w:p w14:paraId="2EA14E1E" w14:textId="77777777" w:rsidR="00E6560B" w:rsidRPr="00417E8E" w:rsidRDefault="00E6560B" w:rsidP="005D36DB">
            <w:pPr>
              <w:rPr>
                <w:sz w:val="20"/>
                <w:szCs w:val="20"/>
              </w:rPr>
            </w:pPr>
          </w:p>
        </w:tc>
        <w:tc>
          <w:tcPr>
            <w:tcW w:w="700" w:type="pct"/>
            <w:shd w:val="clear" w:color="auto" w:fill="FFFFFF" w:themeFill="background1"/>
          </w:tcPr>
          <w:p w14:paraId="7D3EAAD6" w14:textId="77777777" w:rsidR="00E6560B" w:rsidRPr="00313547" w:rsidRDefault="00E6560B" w:rsidP="005D36DB">
            <w:pPr>
              <w:rPr>
                <w:sz w:val="20"/>
                <w:szCs w:val="20"/>
              </w:rPr>
            </w:pPr>
          </w:p>
        </w:tc>
        <w:tc>
          <w:tcPr>
            <w:tcW w:w="749" w:type="pct"/>
            <w:shd w:val="clear" w:color="auto" w:fill="FFFFFF" w:themeFill="background1"/>
          </w:tcPr>
          <w:p w14:paraId="682CE10E" w14:textId="77777777" w:rsidR="00E6560B" w:rsidRPr="00313547" w:rsidRDefault="00E6560B" w:rsidP="005D36DB">
            <w:pPr>
              <w:rPr>
                <w:sz w:val="20"/>
                <w:szCs w:val="20"/>
              </w:rPr>
            </w:pPr>
          </w:p>
        </w:tc>
        <w:tc>
          <w:tcPr>
            <w:tcW w:w="511" w:type="pct"/>
            <w:shd w:val="clear" w:color="auto" w:fill="FFFFFF" w:themeFill="background1"/>
          </w:tcPr>
          <w:p w14:paraId="1CC2C61B" w14:textId="77777777" w:rsidR="00E6560B" w:rsidRPr="00313547" w:rsidRDefault="00E6560B" w:rsidP="005D36DB">
            <w:pPr>
              <w:rPr>
                <w:sz w:val="20"/>
                <w:szCs w:val="20"/>
              </w:rPr>
            </w:pPr>
          </w:p>
        </w:tc>
      </w:tr>
      <w:tr w:rsidR="00E6560B" w:rsidRPr="00313547" w14:paraId="1920578B" w14:textId="77777777" w:rsidTr="005D36DB">
        <w:tc>
          <w:tcPr>
            <w:tcW w:w="806" w:type="pct"/>
          </w:tcPr>
          <w:p w14:paraId="0AD01699" w14:textId="77777777" w:rsidR="00E6560B" w:rsidRPr="00162F24" w:rsidRDefault="00E6560B" w:rsidP="005D36DB">
            <w:pPr>
              <w:ind w:left="45"/>
              <w:rPr>
                <w:sz w:val="20"/>
                <w:szCs w:val="20"/>
              </w:rPr>
            </w:pPr>
            <w:r w:rsidRPr="00162F24">
              <w:rPr>
                <w:sz w:val="20"/>
                <w:szCs w:val="20"/>
              </w:rPr>
              <w:t xml:space="preserve">Emergency procedures including </w:t>
            </w:r>
            <w:r w:rsidR="00CF03A6">
              <w:rPr>
                <w:sz w:val="20"/>
                <w:szCs w:val="20"/>
              </w:rPr>
              <w:t xml:space="preserve">spill management and </w:t>
            </w:r>
            <w:r w:rsidRPr="00162F24">
              <w:rPr>
                <w:sz w:val="20"/>
                <w:szCs w:val="20"/>
              </w:rPr>
              <w:t>accident/incident reporting</w:t>
            </w:r>
          </w:p>
        </w:tc>
        <w:tc>
          <w:tcPr>
            <w:tcW w:w="1336" w:type="pct"/>
          </w:tcPr>
          <w:p w14:paraId="6BFF8F52" w14:textId="77777777" w:rsidR="00E6560B" w:rsidRPr="00313547" w:rsidRDefault="00E6560B" w:rsidP="005D36DB">
            <w:pPr>
              <w:rPr>
                <w:sz w:val="20"/>
                <w:szCs w:val="20"/>
              </w:rPr>
            </w:pPr>
          </w:p>
        </w:tc>
        <w:tc>
          <w:tcPr>
            <w:tcW w:w="898" w:type="pct"/>
            <w:vAlign w:val="center"/>
          </w:tcPr>
          <w:p w14:paraId="462A2F48" w14:textId="77777777" w:rsidR="00E6560B" w:rsidRPr="00417E8E" w:rsidRDefault="00E6560B" w:rsidP="005D36DB">
            <w:pPr>
              <w:rPr>
                <w:sz w:val="20"/>
                <w:szCs w:val="20"/>
              </w:rPr>
            </w:pPr>
          </w:p>
        </w:tc>
        <w:tc>
          <w:tcPr>
            <w:tcW w:w="700" w:type="pct"/>
            <w:shd w:val="clear" w:color="auto" w:fill="FFFFFF" w:themeFill="background1"/>
          </w:tcPr>
          <w:p w14:paraId="5B64A59C" w14:textId="77777777" w:rsidR="00E6560B" w:rsidRPr="00313547" w:rsidRDefault="00E6560B" w:rsidP="005D36DB">
            <w:pPr>
              <w:rPr>
                <w:sz w:val="20"/>
                <w:szCs w:val="20"/>
              </w:rPr>
            </w:pPr>
          </w:p>
        </w:tc>
        <w:tc>
          <w:tcPr>
            <w:tcW w:w="749" w:type="pct"/>
            <w:shd w:val="clear" w:color="auto" w:fill="FFFFFF" w:themeFill="background1"/>
          </w:tcPr>
          <w:p w14:paraId="3F324450" w14:textId="77777777" w:rsidR="00E6560B" w:rsidRPr="00313547" w:rsidRDefault="00E6560B" w:rsidP="005D36DB">
            <w:pPr>
              <w:rPr>
                <w:sz w:val="20"/>
                <w:szCs w:val="20"/>
              </w:rPr>
            </w:pPr>
          </w:p>
        </w:tc>
        <w:tc>
          <w:tcPr>
            <w:tcW w:w="511" w:type="pct"/>
            <w:shd w:val="clear" w:color="auto" w:fill="FFFFFF" w:themeFill="background1"/>
          </w:tcPr>
          <w:p w14:paraId="06738775" w14:textId="77777777" w:rsidR="00E6560B" w:rsidRPr="00313547" w:rsidRDefault="00E6560B" w:rsidP="005D36DB">
            <w:pPr>
              <w:rPr>
                <w:sz w:val="20"/>
                <w:szCs w:val="20"/>
              </w:rPr>
            </w:pPr>
          </w:p>
        </w:tc>
      </w:tr>
      <w:tr w:rsidR="00E6560B" w:rsidRPr="00313547" w14:paraId="5FD20D34" w14:textId="77777777" w:rsidTr="005D36DB">
        <w:tc>
          <w:tcPr>
            <w:tcW w:w="806" w:type="pct"/>
          </w:tcPr>
          <w:p w14:paraId="08CB2047" w14:textId="77777777" w:rsidR="00E6560B" w:rsidRPr="00162F24" w:rsidRDefault="00E6560B" w:rsidP="005D36DB">
            <w:pPr>
              <w:ind w:left="45"/>
              <w:rPr>
                <w:sz w:val="20"/>
                <w:szCs w:val="20"/>
              </w:rPr>
            </w:pPr>
            <w:r w:rsidRPr="00162F24">
              <w:rPr>
                <w:sz w:val="20"/>
                <w:szCs w:val="20"/>
              </w:rPr>
              <w:lastRenderedPageBreak/>
              <w:t>Biosecurity</w:t>
            </w:r>
          </w:p>
        </w:tc>
        <w:tc>
          <w:tcPr>
            <w:tcW w:w="1336" w:type="pct"/>
          </w:tcPr>
          <w:p w14:paraId="73A200C8" w14:textId="77777777" w:rsidR="00E6560B" w:rsidRPr="00313547" w:rsidRDefault="00E6560B" w:rsidP="005D36DB">
            <w:pPr>
              <w:rPr>
                <w:sz w:val="20"/>
                <w:szCs w:val="20"/>
              </w:rPr>
            </w:pPr>
          </w:p>
        </w:tc>
        <w:tc>
          <w:tcPr>
            <w:tcW w:w="898" w:type="pct"/>
            <w:vAlign w:val="center"/>
          </w:tcPr>
          <w:p w14:paraId="2904F351" w14:textId="77777777" w:rsidR="00E6560B" w:rsidRPr="00417E8E" w:rsidRDefault="00E6560B" w:rsidP="005D36DB">
            <w:pPr>
              <w:rPr>
                <w:sz w:val="20"/>
                <w:szCs w:val="20"/>
              </w:rPr>
            </w:pPr>
          </w:p>
        </w:tc>
        <w:tc>
          <w:tcPr>
            <w:tcW w:w="700" w:type="pct"/>
            <w:shd w:val="clear" w:color="auto" w:fill="FFFFFF" w:themeFill="background1"/>
          </w:tcPr>
          <w:p w14:paraId="3DF72B3D" w14:textId="77777777" w:rsidR="00E6560B" w:rsidRPr="00313547" w:rsidRDefault="00E6560B" w:rsidP="005D36DB">
            <w:pPr>
              <w:rPr>
                <w:sz w:val="20"/>
                <w:szCs w:val="20"/>
              </w:rPr>
            </w:pPr>
          </w:p>
        </w:tc>
        <w:tc>
          <w:tcPr>
            <w:tcW w:w="749" w:type="pct"/>
            <w:shd w:val="clear" w:color="auto" w:fill="FFFFFF" w:themeFill="background1"/>
          </w:tcPr>
          <w:p w14:paraId="4E42A192" w14:textId="77777777" w:rsidR="00E6560B" w:rsidRPr="00313547" w:rsidRDefault="00E6560B" w:rsidP="005D36DB">
            <w:pPr>
              <w:rPr>
                <w:sz w:val="20"/>
                <w:szCs w:val="20"/>
              </w:rPr>
            </w:pPr>
          </w:p>
        </w:tc>
        <w:tc>
          <w:tcPr>
            <w:tcW w:w="511" w:type="pct"/>
            <w:shd w:val="clear" w:color="auto" w:fill="FFFFFF" w:themeFill="background1"/>
          </w:tcPr>
          <w:p w14:paraId="6D3D32C8" w14:textId="77777777" w:rsidR="00E6560B" w:rsidRPr="00313547" w:rsidRDefault="00E6560B" w:rsidP="005D36DB">
            <w:pPr>
              <w:rPr>
                <w:sz w:val="20"/>
                <w:szCs w:val="20"/>
              </w:rPr>
            </w:pPr>
          </w:p>
        </w:tc>
      </w:tr>
      <w:tr w:rsidR="00E6560B" w:rsidRPr="00313547" w14:paraId="726636FB" w14:textId="77777777" w:rsidTr="005D36DB">
        <w:tc>
          <w:tcPr>
            <w:tcW w:w="806" w:type="pct"/>
          </w:tcPr>
          <w:p w14:paraId="1851691F" w14:textId="77777777" w:rsidR="00E6560B" w:rsidRPr="00162F24" w:rsidRDefault="00E6560B" w:rsidP="005D36DB">
            <w:pPr>
              <w:ind w:left="45"/>
              <w:rPr>
                <w:sz w:val="20"/>
                <w:szCs w:val="20"/>
              </w:rPr>
            </w:pPr>
            <w:r w:rsidRPr="00A132DB">
              <w:rPr>
                <w:sz w:val="20"/>
                <w:szCs w:val="20"/>
              </w:rPr>
              <w:t>Carriage of Dangerous Goods (if relevant)</w:t>
            </w:r>
          </w:p>
        </w:tc>
        <w:tc>
          <w:tcPr>
            <w:tcW w:w="1336" w:type="pct"/>
          </w:tcPr>
          <w:p w14:paraId="063A8CF4" w14:textId="77777777" w:rsidR="00E6560B" w:rsidRPr="00313547" w:rsidRDefault="00E6560B" w:rsidP="005D36DB">
            <w:pPr>
              <w:rPr>
                <w:sz w:val="20"/>
                <w:szCs w:val="20"/>
              </w:rPr>
            </w:pPr>
          </w:p>
        </w:tc>
        <w:tc>
          <w:tcPr>
            <w:tcW w:w="898" w:type="pct"/>
            <w:vAlign w:val="center"/>
          </w:tcPr>
          <w:p w14:paraId="0F3E1315" w14:textId="77777777" w:rsidR="00E6560B" w:rsidRPr="00417E8E" w:rsidRDefault="00E6560B" w:rsidP="005D36DB">
            <w:pPr>
              <w:rPr>
                <w:sz w:val="20"/>
                <w:szCs w:val="20"/>
              </w:rPr>
            </w:pPr>
          </w:p>
        </w:tc>
        <w:tc>
          <w:tcPr>
            <w:tcW w:w="700" w:type="pct"/>
            <w:shd w:val="clear" w:color="auto" w:fill="FFFFFF" w:themeFill="background1"/>
          </w:tcPr>
          <w:p w14:paraId="5B6EC712" w14:textId="77777777" w:rsidR="00E6560B" w:rsidRPr="00313547" w:rsidRDefault="00E6560B" w:rsidP="005D36DB">
            <w:pPr>
              <w:rPr>
                <w:sz w:val="20"/>
                <w:szCs w:val="20"/>
              </w:rPr>
            </w:pPr>
          </w:p>
        </w:tc>
        <w:tc>
          <w:tcPr>
            <w:tcW w:w="749" w:type="pct"/>
            <w:shd w:val="clear" w:color="auto" w:fill="FFFFFF" w:themeFill="background1"/>
          </w:tcPr>
          <w:p w14:paraId="43D7F174" w14:textId="77777777" w:rsidR="00E6560B" w:rsidRPr="00313547" w:rsidRDefault="00E6560B" w:rsidP="005D36DB">
            <w:pPr>
              <w:rPr>
                <w:sz w:val="20"/>
                <w:szCs w:val="20"/>
              </w:rPr>
            </w:pPr>
          </w:p>
        </w:tc>
        <w:tc>
          <w:tcPr>
            <w:tcW w:w="511" w:type="pct"/>
            <w:shd w:val="clear" w:color="auto" w:fill="FFFFFF" w:themeFill="background1"/>
          </w:tcPr>
          <w:p w14:paraId="4E56C8E7" w14:textId="77777777" w:rsidR="00E6560B" w:rsidRPr="00313547" w:rsidRDefault="00E6560B" w:rsidP="005D36DB">
            <w:pPr>
              <w:rPr>
                <w:sz w:val="20"/>
                <w:szCs w:val="20"/>
              </w:rPr>
            </w:pPr>
          </w:p>
        </w:tc>
      </w:tr>
      <w:tr w:rsidR="00E6560B" w:rsidRPr="00313547" w14:paraId="1400B2E9" w14:textId="77777777" w:rsidTr="005D36DB">
        <w:tc>
          <w:tcPr>
            <w:tcW w:w="806" w:type="pct"/>
          </w:tcPr>
          <w:p w14:paraId="56583F0E" w14:textId="77777777" w:rsidR="00E6560B" w:rsidRDefault="00E6560B" w:rsidP="005D36DB">
            <w:pPr>
              <w:ind w:left="45"/>
              <w:rPr>
                <w:sz w:val="20"/>
                <w:szCs w:val="20"/>
              </w:rPr>
            </w:pPr>
            <w:r>
              <w:rPr>
                <w:sz w:val="20"/>
                <w:szCs w:val="20"/>
              </w:rPr>
              <w:t>Others (please list):</w:t>
            </w:r>
          </w:p>
          <w:p w14:paraId="1277F04E" w14:textId="77777777" w:rsidR="00E6560B" w:rsidRPr="00A132DB" w:rsidRDefault="00E6560B" w:rsidP="005D36DB">
            <w:pPr>
              <w:ind w:left="45"/>
              <w:rPr>
                <w:sz w:val="20"/>
                <w:szCs w:val="20"/>
              </w:rPr>
            </w:pPr>
          </w:p>
        </w:tc>
        <w:tc>
          <w:tcPr>
            <w:tcW w:w="1336" w:type="pct"/>
          </w:tcPr>
          <w:p w14:paraId="1E4A8940" w14:textId="77777777" w:rsidR="00E6560B" w:rsidRPr="00313547" w:rsidRDefault="00E6560B" w:rsidP="005D36DB">
            <w:pPr>
              <w:rPr>
                <w:sz w:val="20"/>
                <w:szCs w:val="20"/>
              </w:rPr>
            </w:pPr>
          </w:p>
        </w:tc>
        <w:tc>
          <w:tcPr>
            <w:tcW w:w="898" w:type="pct"/>
            <w:vAlign w:val="center"/>
          </w:tcPr>
          <w:p w14:paraId="2C801679" w14:textId="77777777" w:rsidR="00E6560B" w:rsidRPr="00417E8E" w:rsidRDefault="00E6560B" w:rsidP="005D36DB">
            <w:pPr>
              <w:rPr>
                <w:sz w:val="20"/>
                <w:szCs w:val="20"/>
              </w:rPr>
            </w:pPr>
          </w:p>
        </w:tc>
        <w:tc>
          <w:tcPr>
            <w:tcW w:w="700" w:type="pct"/>
            <w:shd w:val="clear" w:color="auto" w:fill="FFFFFF" w:themeFill="background1"/>
          </w:tcPr>
          <w:p w14:paraId="48EAD89A" w14:textId="77777777" w:rsidR="00E6560B" w:rsidRPr="00313547" w:rsidRDefault="00E6560B" w:rsidP="005D36DB">
            <w:pPr>
              <w:rPr>
                <w:sz w:val="20"/>
                <w:szCs w:val="20"/>
              </w:rPr>
            </w:pPr>
          </w:p>
        </w:tc>
        <w:tc>
          <w:tcPr>
            <w:tcW w:w="749" w:type="pct"/>
            <w:shd w:val="clear" w:color="auto" w:fill="FFFFFF" w:themeFill="background1"/>
          </w:tcPr>
          <w:p w14:paraId="74847212" w14:textId="77777777" w:rsidR="00E6560B" w:rsidRPr="00313547" w:rsidRDefault="00E6560B" w:rsidP="005D36DB">
            <w:pPr>
              <w:rPr>
                <w:sz w:val="20"/>
                <w:szCs w:val="20"/>
              </w:rPr>
            </w:pPr>
          </w:p>
        </w:tc>
        <w:tc>
          <w:tcPr>
            <w:tcW w:w="511" w:type="pct"/>
            <w:shd w:val="clear" w:color="auto" w:fill="FFFFFF" w:themeFill="background1"/>
          </w:tcPr>
          <w:p w14:paraId="18190C7C" w14:textId="77777777" w:rsidR="00E6560B" w:rsidRPr="00313547" w:rsidRDefault="00E6560B" w:rsidP="005D36DB">
            <w:pPr>
              <w:rPr>
                <w:sz w:val="20"/>
                <w:szCs w:val="20"/>
              </w:rPr>
            </w:pPr>
          </w:p>
        </w:tc>
      </w:tr>
      <w:tr w:rsidR="00E6560B" w:rsidRPr="00313547" w14:paraId="3C258F27" w14:textId="77777777" w:rsidTr="005D36DB">
        <w:tc>
          <w:tcPr>
            <w:tcW w:w="806" w:type="pct"/>
          </w:tcPr>
          <w:p w14:paraId="79DC6185" w14:textId="77777777" w:rsidR="00E6560B" w:rsidRDefault="00E6560B" w:rsidP="005D36DB">
            <w:r w:rsidRPr="00CA7225">
              <w:rPr>
                <w:b/>
                <w:sz w:val="20"/>
                <w:szCs w:val="20"/>
              </w:rPr>
              <w:t>Equipment operation (practical):</w:t>
            </w:r>
          </w:p>
        </w:tc>
        <w:tc>
          <w:tcPr>
            <w:tcW w:w="1336" w:type="pct"/>
          </w:tcPr>
          <w:p w14:paraId="16961318" w14:textId="77777777" w:rsidR="00E6560B" w:rsidRPr="00313547" w:rsidRDefault="00E6560B" w:rsidP="005D36DB">
            <w:pPr>
              <w:rPr>
                <w:sz w:val="20"/>
                <w:szCs w:val="20"/>
              </w:rPr>
            </w:pPr>
          </w:p>
        </w:tc>
        <w:tc>
          <w:tcPr>
            <w:tcW w:w="898" w:type="pct"/>
            <w:vAlign w:val="center"/>
          </w:tcPr>
          <w:p w14:paraId="1667493A" w14:textId="77777777" w:rsidR="00E6560B" w:rsidRPr="00417E8E" w:rsidRDefault="00E6560B" w:rsidP="005D36DB">
            <w:pPr>
              <w:rPr>
                <w:sz w:val="20"/>
                <w:szCs w:val="20"/>
              </w:rPr>
            </w:pPr>
          </w:p>
        </w:tc>
        <w:tc>
          <w:tcPr>
            <w:tcW w:w="700" w:type="pct"/>
            <w:shd w:val="clear" w:color="auto" w:fill="FFFFFF" w:themeFill="background1"/>
          </w:tcPr>
          <w:p w14:paraId="1370F0D1" w14:textId="77777777" w:rsidR="00E6560B" w:rsidRPr="00313547" w:rsidRDefault="00E6560B" w:rsidP="005D36DB">
            <w:pPr>
              <w:rPr>
                <w:sz w:val="20"/>
                <w:szCs w:val="20"/>
              </w:rPr>
            </w:pPr>
          </w:p>
        </w:tc>
        <w:tc>
          <w:tcPr>
            <w:tcW w:w="749" w:type="pct"/>
            <w:shd w:val="clear" w:color="auto" w:fill="FFFFFF" w:themeFill="background1"/>
          </w:tcPr>
          <w:p w14:paraId="6ED344FC" w14:textId="77777777" w:rsidR="00E6560B" w:rsidRPr="00313547" w:rsidRDefault="00E6560B" w:rsidP="005D36DB">
            <w:pPr>
              <w:rPr>
                <w:sz w:val="20"/>
                <w:szCs w:val="20"/>
              </w:rPr>
            </w:pPr>
          </w:p>
        </w:tc>
        <w:tc>
          <w:tcPr>
            <w:tcW w:w="511" w:type="pct"/>
            <w:shd w:val="clear" w:color="auto" w:fill="FFFFFF" w:themeFill="background1"/>
          </w:tcPr>
          <w:p w14:paraId="3A0A6731" w14:textId="77777777" w:rsidR="00E6560B" w:rsidRPr="00313547" w:rsidRDefault="00E6560B" w:rsidP="005D36DB">
            <w:pPr>
              <w:rPr>
                <w:sz w:val="20"/>
                <w:szCs w:val="20"/>
              </w:rPr>
            </w:pPr>
          </w:p>
        </w:tc>
      </w:tr>
      <w:tr w:rsidR="00E6560B" w:rsidRPr="00313547" w14:paraId="335CCC71" w14:textId="77777777" w:rsidTr="005D36DB">
        <w:tc>
          <w:tcPr>
            <w:tcW w:w="806" w:type="pct"/>
          </w:tcPr>
          <w:p w14:paraId="07F1A888" w14:textId="77777777" w:rsidR="00E6560B" w:rsidRPr="00F37A5B" w:rsidRDefault="00E6560B" w:rsidP="00B91F8A">
            <w:pPr>
              <w:pStyle w:val="ListParagraph"/>
              <w:numPr>
                <w:ilvl w:val="0"/>
                <w:numId w:val="24"/>
              </w:numPr>
              <w:spacing w:after="0" w:line="240" w:lineRule="auto"/>
              <w:rPr>
                <w:b/>
                <w:sz w:val="20"/>
                <w:szCs w:val="20"/>
              </w:rPr>
            </w:pPr>
            <w:r w:rsidRPr="00F37A5B">
              <w:rPr>
                <w:sz w:val="20"/>
                <w:szCs w:val="20"/>
              </w:rPr>
              <w:t>room ventilation system</w:t>
            </w:r>
          </w:p>
        </w:tc>
        <w:tc>
          <w:tcPr>
            <w:tcW w:w="1336" w:type="pct"/>
          </w:tcPr>
          <w:p w14:paraId="5CDB2952" w14:textId="77777777" w:rsidR="00E6560B" w:rsidRPr="00313547" w:rsidRDefault="00E6560B" w:rsidP="005D36DB">
            <w:pPr>
              <w:rPr>
                <w:sz w:val="20"/>
                <w:szCs w:val="20"/>
              </w:rPr>
            </w:pPr>
          </w:p>
        </w:tc>
        <w:tc>
          <w:tcPr>
            <w:tcW w:w="898" w:type="pct"/>
            <w:vAlign w:val="center"/>
          </w:tcPr>
          <w:p w14:paraId="5ECD064E" w14:textId="77777777" w:rsidR="00E6560B" w:rsidRPr="00417E8E" w:rsidRDefault="00E6560B" w:rsidP="005D36DB">
            <w:pPr>
              <w:rPr>
                <w:sz w:val="20"/>
                <w:szCs w:val="20"/>
              </w:rPr>
            </w:pPr>
          </w:p>
        </w:tc>
        <w:tc>
          <w:tcPr>
            <w:tcW w:w="700" w:type="pct"/>
            <w:shd w:val="clear" w:color="auto" w:fill="FFFFFF" w:themeFill="background1"/>
          </w:tcPr>
          <w:p w14:paraId="7A77BE2A" w14:textId="77777777" w:rsidR="00E6560B" w:rsidRPr="00313547" w:rsidRDefault="00E6560B" w:rsidP="005D36DB">
            <w:pPr>
              <w:rPr>
                <w:sz w:val="20"/>
                <w:szCs w:val="20"/>
              </w:rPr>
            </w:pPr>
          </w:p>
        </w:tc>
        <w:tc>
          <w:tcPr>
            <w:tcW w:w="749" w:type="pct"/>
            <w:shd w:val="clear" w:color="auto" w:fill="FFFFFF" w:themeFill="background1"/>
          </w:tcPr>
          <w:p w14:paraId="5EC75DAC" w14:textId="77777777" w:rsidR="00E6560B" w:rsidRPr="00313547" w:rsidRDefault="00E6560B" w:rsidP="005D36DB">
            <w:pPr>
              <w:rPr>
                <w:sz w:val="20"/>
                <w:szCs w:val="20"/>
              </w:rPr>
            </w:pPr>
          </w:p>
        </w:tc>
        <w:tc>
          <w:tcPr>
            <w:tcW w:w="511" w:type="pct"/>
            <w:shd w:val="clear" w:color="auto" w:fill="FFFFFF" w:themeFill="background1"/>
          </w:tcPr>
          <w:p w14:paraId="2161789C" w14:textId="77777777" w:rsidR="00E6560B" w:rsidRPr="00313547" w:rsidRDefault="00E6560B" w:rsidP="005D36DB">
            <w:pPr>
              <w:rPr>
                <w:sz w:val="20"/>
                <w:szCs w:val="20"/>
              </w:rPr>
            </w:pPr>
          </w:p>
        </w:tc>
      </w:tr>
      <w:tr w:rsidR="00E6560B" w:rsidRPr="00313547" w14:paraId="23A0E27A" w14:textId="77777777" w:rsidTr="005D36DB">
        <w:tc>
          <w:tcPr>
            <w:tcW w:w="806" w:type="pct"/>
          </w:tcPr>
          <w:p w14:paraId="0A1BE7BE" w14:textId="77777777" w:rsidR="00E6560B" w:rsidRPr="00F37A5B" w:rsidRDefault="00E6560B" w:rsidP="00B91F8A">
            <w:pPr>
              <w:pStyle w:val="ListParagraph"/>
              <w:numPr>
                <w:ilvl w:val="0"/>
                <w:numId w:val="24"/>
              </w:numPr>
              <w:spacing w:after="0" w:line="240" w:lineRule="auto"/>
              <w:rPr>
                <w:sz w:val="20"/>
                <w:szCs w:val="20"/>
              </w:rPr>
            </w:pPr>
            <w:r>
              <w:rPr>
                <w:sz w:val="20"/>
                <w:szCs w:val="20"/>
              </w:rPr>
              <w:t>storage alarms</w:t>
            </w:r>
          </w:p>
        </w:tc>
        <w:tc>
          <w:tcPr>
            <w:tcW w:w="1336" w:type="pct"/>
          </w:tcPr>
          <w:p w14:paraId="6B960B95" w14:textId="77777777" w:rsidR="00E6560B" w:rsidRPr="00313547" w:rsidRDefault="00E6560B" w:rsidP="005D36DB">
            <w:pPr>
              <w:rPr>
                <w:sz w:val="20"/>
                <w:szCs w:val="20"/>
              </w:rPr>
            </w:pPr>
          </w:p>
        </w:tc>
        <w:tc>
          <w:tcPr>
            <w:tcW w:w="898" w:type="pct"/>
            <w:vAlign w:val="center"/>
          </w:tcPr>
          <w:p w14:paraId="76474FBB" w14:textId="77777777" w:rsidR="00E6560B" w:rsidRPr="00417E8E" w:rsidRDefault="00E6560B" w:rsidP="005D36DB">
            <w:pPr>
              <w:rPr>
                <w:sz w:val="20"/>
                <w:szCs w:val="20"/>
              </w:rPr>
            </w:pPr>
          </w:p>
        </w:tc>
        <w:tc>
          <w:tcPr>
            <w:tcW w:w="700" w:type="pct"/>
            <w:shd w:val="clear" w:color="auto" w:fill="FFFFFF" w:themeFill="background1"/>
          </w:tcPr>
          <w:p w14:paraId="28CABBD6" w14:textId="77777777" w:rsidR="00E6560B" w:rsidRPr="00313547" w:rsidRDefault="00E6560B" w:rsidP="005D36DB">
            <w:pPr>
              <w:rPr>
                <w:sz w:val="20"/>
                <w:szCs w:val="20"/>
              </w:rPr>
            </w:pPr>
          </w:p>
        </w:tc>
        <w:tc>
          <w:tcPr>
            <w:tcW w:w="749" w:type="pct"/>
            <w:shd w:val="clear" w:color="auto" w:fill="FFFFFF" w:themeFill="background1"/>
          </w:tcPr>
          <w:p w14:paraId="0494C0CF" w14:textId="77777777" w:rsidR="00E6560B" w:rsidRPr="00313547" w:rsidRDefault="00E6560B" w:rsidP="005D36DB">
            <w:pPr>
              <w:rPr>
                <w:sz w:val="20"/>
                <w:szCs w:val="20"/>
              </w:rPr>
            </w:pPr>
          </w:p>
        </w:tc>
        <w:tc>
          <w:tcPr>
            <w:tcW w:w="511" w:type="pct"/>
            <w:shd w:val="clear" w:color="auto" w:fill="FFFFFF" w:themeFill="background1"/>
          </w:tcPr>
          <w:p w14:paraId="59B5844A" w14:textId="77777777" w:rsidR="00E6560B" w:rsidRPr="00313547" w:rsidRDefault="00E6560B" w:rsidP="005D36DB">
            <w:pPr>
              <w:rPr>
                <w:sz w:val="20"/>
                <w:szCs w:val="20"/>
              </w:rPr>
            </w:pPr>
          </w:p>
        </w:tc>
      </w:tr>
      <w:tr w:rsidR="00E6560B" w:rsidRPr="00313547" w14:paraId="2854AB34" w14:textId="77777777" w:rsidTr="005D36DB">
        <w:tc>
          <w:tcPr>
            <w:tcW w:w="806" w:type="pct"/>
          </w:tcPr>
          <w:p w14:paraId="6E1D22C2" w14:textId="77777777" w:rsidR="00E6560B" w:rsidRPr="00B3383E" w:rsidRDefault="00E6560B" w:rsidP="00B91F8A">
            <w:pPr>
              <w:pStyle w:val="ListParagraph"/>
              <w:numPr>
                <w:ilvl w:val="0"/>
                <w:numId w:val="25"/>
              </w:numPr>
              <w:spacing w:after="0" w:line="240" w:lineRule="auto"/>
              <w:rPr>
                <w:sz w:val="20"/>
                <w:szCs w:val="20"/>
              </w:rPr>
            </w:pPr>
            <w:r>
              <w:rPr>
                <w:sz w:val="20"/>
                <w:szCs w:val="20"/>
              </w:rPr>
              <w:t>centrifuges</w:t>
            </w:r>
          </w:p>
        </w:tc>
        <w:tc>
          <w:tcPr>
            <w:tcW w:w="1336" w:type="pct"/>
          </w:tcPr>
          <w:p w14:paraId="6ECB4E68" w14:textId="77777777" w:rsidR="00E6560B" w:rsidRPr="00313547" w:rsidRDefault="00E6560B" w:rsidP="005D36DB">
            <w:pPr>
              <w:rPr>
                <w:sz w:val="20"/>
                <w:szCs w:val="20"/>
              </w:rPr>
            </w:pPr>
          </w:p>
        </w:tc>
        <w:tc>
          <w:tcPr>
            <w:tcW w:w="898" w:type="pct"/>
            <w:vAlign w:val="center"/>
          </w:tcPr>
          <w:p w14:paraId="088BD536" w14:textId="77777777" w:rsidR="00E6560B" w:rsidRPr="00417E8E" w:rsidRDefault="00E6560B" w:rsidP="005D36DB">
            <w:pPr>
              <w:rPr>
                <w:sz w:val="20"/>
                <w:szCs w:val="20"/>
              </w:rPr>
            </w:pPr>
          </w:p>
        </w:tc>
        <w:tc>
          <w:tcPr>
            <w:tcW w:w="700" w:type="pct"/>
            <w:shd w:val="clear" w:color="auto" w:fill="FFFFFF" w:themeFill="background1"/>
          </w:tcPr>
          <w:p w14:paraId="777F1B9B" w14:textId="77777777" w:rsidR="00E6560B" w:rsidRPr="00313547" w:rsidRDefault="00E6560B" w:rsidP="005D36DB">
            <w:pPr>
              <w:rPr>
                <w:sz w:val="20"/>
                <w:szCs w:val="20"/>
              </w:rPr>
            </w:pPr>
          </w:p>
        </w:tc>
        <w:tc>
          <w:tcPr>
            <w:tcW w:w="749" w:type="pct"/>
            <w:shd w:val="clear" w:color="auto" w:fill="FFFFFF" w:themeFill="background1"/>
          </w:tcPr>
          <w:p w14:paraId="625302D7" w14:textId="77777777" w:rsidR="00E6560B" w:rsidRPr="00313547" w:rsidRDefault="00E6560B" w:rsidP="005D36DB">
            <w:pPr>
              <w:rPr>
                <w:sz w:val="20"/>
                <w:szCs w:val="20"/>
              </w:rPr>
            </w:pPr>
          </w:p>
        </w:tc>
        <w:tc>
          <w:tcPr>
            <w:tcW w:w="511" w:type="pct"/>
            <w:shd w:val="clear" w:color="auto" w:fill="FFFFFF" w:themeFill="background1"/>
          </w:tcPr>
          <w:p w14:paraId="25A0E3EC" w14:textId="77777777" w:rsidR="00E6560B" w:rsidRPr="00313547" w:rsidRDefault="00E6560B" w:rsidP="005D36DB">
            <w:pPr>
              <w:rPr>
                <w:sz w:val="20"/>
                <w:szCs w:val="20"/>
              </w:rPr>
            </w:pPr>
          </w:p>
        </w:tc>
      </w:tr>
      <w:tr w:rsidR="00E6560B" w:rsidRPr="00313547" w14:paraId="4A0D4AB5" w14:textId="77777777" w:rsidTr="005D36DB">
        <w:tc>
          <w:tcPr>
            <w:tcW w:w="806" w:type="pct"/>
          </w:tcPr>
          <w:p w14:paraId="5338B4E5" w14:textId="77777777" w:rsidR="00E6560B" w:rsidRPr="00B3383E" w:rsidRDefault="00E6560B" w:rsidP="00B91F8A">
            <w:pPr>
              <w:pStyle w:val="ListParagraph"/>
              <w:numPr>
                <w:ilvl w:val="0"/>
                <w:numId w:val="25"/>
              </w:numPr>
              <w:spacing w:after="0" w:line="240" w:lineRule="auto"/>
              <w:rPr>
                <w:sz w:val="20"/>
                <w:szCs w:val="20"/>
              </w:rPr>
            </w:pPr>
            <w:r w:rsidRPr="00B3383E">
              <w:rPr>
                <w:sz w:val="20"/>
                <w:szCs w:val="20"/>
              </w:rPr>
              <w:t>microbiological safety cabinets</w:t>
            </w:r>
          </w:p>
        </w:tc>
        <w:tc>
          <w:tcPr>
            <w:tcW w:w="1336" w:type="pct"/>
          </w:tcPr>
          <w:p w14:paraId="41808836" w14:textId="77777777" w:rsidR="00E6560B" w:rsidRPr="00313547" w:rsidRDefault="00E6560B" w:rsidP="005D36DB">
            <w:pPr>
              <w:rPr>
                <w:sz w:val="20"/>
                <w:szCs w:val="20"/>
              </w:rPr>
            </w:pPr>
          </w:p>
        </w:tc>
        <w:tc>
          <w:tcPr>
            <w:tcW w:w="898" w:type="pct"/>
            <w:vAlign w:val="center"/>
          </w:tcPr>
          <w:p w14:paraId="7AF66358" w14:textId="77777777" w:rsidR="00E6560B" w:rsidRPr="00417E8E" w:rsidRDefault="00E6560B" w:rsidP="005D36DB">
            <w:pPr>
              <w:rPr>
                <w:sz w:val="20"/>
                <w:szCs w:val="20"/>
              </w:rPr>
            </w:pPr>
          </w:p>
        </w:tc>
        <w:tc>
          <w:tcPr>
            <w:tcW w:w="700" w:type="pct"/>
            <w:shd w:val="clear" w:color="auto" w:fill="FFFFFF" w:themeFill="background1"/>
          </w:tcPr>
          <w:p w14:paraId="594E1E1B" w14:textId="77777777" w:rsidR="00E6560B" w:rsidRPr="00313547" w:rsidRDefault="00E6560B" w:rsidP="005D36DB">
            <w:pPr>
              <w:rPr>
                <w:sz w:val="20"/>
                <w:szCs w:val="20"/>
              </w:rPr>
            </w:pPr>
          </w:p>
        </w:tc>
        <w:tc>
          <w:tcPr>
            <w:tcW w:w="749" w:type="pct"/>
            <w:shd w:val="clear" w:color="auto" w:fill="FFFFFF" w:themeFill="background1"/>
          </w:tcPr>
          <w:p w14:paraId="24E5C475" w14:textId="77777777" w:rsidR="00E6560B" w:rsidRPr="00313547" w:rsidRDefault="00E6560B" w:rsidP="005D36DB">
            <w:pPr>
              <w:rPr>
                <w:sz w:val="20"/>
                <w:szCs w:val="20"/>
              </w:rPr>
            </w:pPr>
          </w:p>
        </w:tc>
        <w:tc>
          <w:tcPr>
            <w:tcW w:w="511" w:type="pct"/>
            <w:shd w:val="clear" w:color="auto" w:fill="FFFFFF" w:themeFill="background1"/>
          </w:tcPr>
          <w:p w14:paraId="1DAE7D65" w14:textId="77777777" w:rsidR="00E6560B" w:rsidRPr="00313547" w:rsidRDefault="00E6560B" w:rsidP="005D36DB">
            <w:pPr>
              <w:rPr>
                <w:sz w:val="20"/>
                <w:szCs w:val="20"/>
              </w:rPr>
            </w:pPr>
          </w:p>
        </w:tc>
      </w:tr>
      <w:tr w:rsidR="00E6560B" w:rsidRPr="00313547" w14:paraId="2A137E76" w14:textId="77777777" w:rsidTr="005D36DB">
        <w:tc>
          <w:tcPr>
            <w:tcW w:w="806" w:type="pct"/>
          </w:tcPr>
          <w:p w14:paraId="7AF7D260" w14:textId="10BE40A3" w:rsidR="00E6560B" w:rsidRPr="00B3383E" w:rsidRDefault="00E6560B" w:rsidP="00B91F8A">
            <w:pPr>
              <w:pStyle w:val="ListParagraph"/>
              <w:numPr>
                <w:ilvl w:val="0"/>
                <w:numId w:val="25"/>
              </w:numPr>
              <w:spacing w:after="0" w:line="240" w:lineRule="auto"/>
              <w:rPr>
                <w:sz w:val="20"/>
                <w:szCs w:val="20"/>
              </w:rPr>
            </w:pPr>
            <w:r w:rsidRPr="00B3383E">
              <w:rPr>
                <w:color w:val="C00000"/>
                <w:sz w:val="20"/>
                <w:szCs w:val="20"/>
              </w:rPr>
              <w:t xml:space="preserve">_ _ _ </w:t>
            </w:r>
            <w:proofErr w:type="gramStart"/>
            <w:r w:rsidRPr="00B3383E">
              <w:rPr>
                <w:color w:val="C00000"/>
                <w:sz w:val="20"/>
                <w:szCs w:val="20"/>
              </w:rPr>
              <w:t>_(</w:t>
            </w:r>
            <w:proofErr w:type="gramEnd"/>
            <w:r w:rsidRPr="00B3383E">
              <w:rPr>
                <w:color w:val="C00000"/>
                <w:sz w:val="20"/>
                <w:szCs w:val="20"/>
              </w:rPr>
              <w:t>other,</w:t>
            </w:r>
            <w:r w:rsidR="007333E2">
              <w:rPr>
                <w:color w:val="C00000"/>
                <w:sz w:val="20"/>
                <w:szCs w:val="20"/>
              </w:rPr>
              <w:t xml:space="preserve"> </w:t>
            </w:r>
            <w:r w:rsidRPr="00B3383E">
              <w:rPr>
                <w:color w:val="C00000"/>
                <w:sz w:val="20"/>
                <w:szCs w:val="20"/>
              </w:rPr>
              <w:t>PI to specify)</w:t>
            </w:r>
          </w:p>
        </w:tc>
        <w:tc>
          <w:tcPr>
            <w:tcW w:w="1336" w:type="pct"/>
          </w:tcPr>
          <w:p w14:paraId="104E97CD" w14:textId="77777777" w:rsidR="00E6560B" w:rsidRPr="00313547" w:rsidRDefault="00E6560B" w:rsidP="005D36DB">
            <w:pPr>
              <w:rPr>
                <w:sz w:val="20"/>
                <w:szCs w:val="20"/>
              </w:rPr>
            </w:pPr>
          </w:p>
        </w:tc>
        <w:tc>
          <w:tcPr>
            <w:tcW w:w="898" w:type="pct"/>
            <w:vAlign w:val="center"/>
          </w:tcPr>
          <w:p w14:paraId="32224EBE" w14:textId="77777777" w:rsidR="00E6560B" w:rsidRPr="00417E8E" w:rsidRDefault="00E6560B" w:rsidP="005D36DB">
            <w:pPr>
              <w:rPr>
                <w:sz w:val="20"/>
                <w:szCs w:val="20"/>
              </w:rPr>
            </w:pPr>
          </w:p>
        </w:tc>
        <w:tc>
          <w:tcPr>
            <w:tcW w:w="700" w:type="pct"/>
            <w:shd w:val="clear" w:color="auto" w:fill="FFFFFF" w:themeFill="background1"/>
          </w:tcPr>
          <w:p w14:paraId="69339C7F" w14:textId="77777777" w:rsidR="00E6560B" w:rsidRPr="00313547" w:rsidRDefault="00E6560B" w:rsidP="005D36DB">
            <w:pPr>
              <w:rPr>
                <w:sz w:val="20"/>
                <w:szCs w:val="20"/>
              </w:rPr>
            </w:pPr>
          </w:p>
        </w:tc>
        <w:tc>
          <w:tcPr>
            <w:tcW w:w="749" w:type="pct"/>
            <w:shd w:val="clear" w:color="auto" w:fill="FFFFFF" w:themeFill="background1"/>
          </w:tcPr>
          <w:p w14:paraId="7C07AD4B" w14:textId="77777777" w:rsidR="00E6560B" w:rsidRPr="00313547" w:rsidRDefault="00E6560B" w:rsidP="005D36DB">
            <w:pPr>
              <w:rPr>
                <w:sz w:val="20"/>
                <w:szCs w:val="20"/>
              </w:rPr>
            </w:pPr>
          </w:p>
        </w:tc>
        <w:tc>
          <w:tcPr>
            <w:tcW w:w="511" w:type="pct"/>
            <w:shd w:val="clear" w:color="auto" w:fill="FFFFFF" w:themeFill="background1"/>
          </w:tcPr>
          <w:p w14:paraId="4D900B6F" w14:textId="77777777" w:rsidR="00E6560B" w:rsidRPr="00313547" w:rsidRDefault="00E6560B" w:rsidP="005D36DB">
            <w:pPr>
              <w:rPr>
                <w:sz w:val="20"/>
                <w:szCs w:val="20"/>
              </w:rPr>
            </w:pPr>
          </w:p>
        </w:tc>
      </w:tr>
      <w:tr w:rsidR="00E6560B" w:rsidRPr="00313547" w14:paraId="74836081" w14:textId="77777777" w:rsidTr="005D36DB">
        <w:tc>
          <w:tcPr>
            <w:tcW w:w="806" w:type="pct"/>
          </w:tcPr>
          <w:p w14:paraId="48E7463D" w14:textId="77777777" w:rsidR="00E6560B" w:rsidRPr="00162F24" w:rsidRDefault="00E6560B" w:rsidP="005D36DB">
            <w:pPr>
              <w:rPr>
                <w:sz w:val="20"/>
                <w:szCs w:val="20"/>
              </w:rPr>
            </w:pPr>
            <w:r>
              <w:rPr>
                <w:b/>
                <w:sz w:val="22"/>
                <w:szCs w:val="22"/>
              </w:rPr>
              <w:t xml:space="preserve">Task or </w:t>
            </w:r>
            <w:r w:rsidRPr="00CA7225">
              <w:rPr>
                <w:b/>
                <w:sz w:val="22"/>
                <w:szCs w:val="22"/>
              </w:rPr>
              <w:t>activity -specific skills</w:t>
            </w:r>
            <w:r>
              <w:rPr>
                <w:b/>
                <w:sz w:val="22"/>
                <w:szCs w:val="22"/>
              </w:rPr>
              <w:t xml:space="preserve"> and knowledge</w:t>
            </w:r>
          </w:p>
        </w:tc>
        <w:tc>
          <w:tcPr>
            <w:tcW w:w="1336" w:type="pct"/>
          </w:tcPr>
          <w:p w14:paraId="6B7E760A" w14:textId="77777777" w:rsidR="00E6560B" w:rsidRPr="00313547" w:rsidRDefault="00E6560B" w:rsidP="005D36DB">
            <w:pPr>
              <w:rPr>
                <w:sz w:val="20"/>
                <w:szCs w:val="20"/>
              </w:rPr>
            </w:pPr>
          </w:p>
        </w:tc>
        <w:tc>
          <w:tcPr>
            <w:tcW w:w="898" w:type="pct"/>
            <w:vAlign w:val="center"/>
          </w:tcPr>
          <w:p w14:paraId="6D833C57" w14:textId="77777777" w:rsidR="00E6560B" w:rsidRPr="00417E8E" w:rsidRDefault="00E6560B" w:rsidP="005D36DB">
            <w:pPr>
              <w:rPr>
                <w:sz w:val="20"/>
                <w:szCs w:val="20"/>
              </w:rPr>
            </w:pPr>
          </w:p>
        </w:tc>
        <w:tc>
          <w:tcPr>
            <w:tcW w:w="700" w:type="pct"/>
            <w:shd w:val="clear" w:color="auto" w:fill="FFFFFF" w:themeFill="background1"/>
          </w:tcPr>
          <w:p w14:paraId="5EAEC639" w14:textId="77777777" w:rsidR="00E6560B" w:rsidRPr="00313547" w:rsidRDefault="00E6560B" w:rsidP="005D36DB">
            <w:pPr>
              <w:rPr>
                <w:sz w:val="20"/>
                <w:szCs w:val="20"/>
              </w:rPr>
            </w:pPr>
          </w:p>
        </w:tc>
        <w:tc>
          <w:tcPr>
            <w:tcW w:w="749" w:type="pct"/>
            <w:shd w:val="clear" w:color="auto" w:fill="FFFFFF" w:themeFill="background1"/>
          </w:tcPr>
          <w:p w14:paraId="71F752D8" w14:textId="77777777" w:rsidR="00E6560B" w:rsidRPr="00313547" w:rsidRDefault="00E6560B" w:rsidP="005D36DB">
            <w:pPr>
              <w:rPr>
                <w:sz w:val="20"/>
                <w:szCs w:val="20"/>
              </w:rPr>
            </w:pPr>
          </w:p>
        </w:tc>
        <w:tc>
          <w:tcPr>
            <w:tcW w:w="511" w:type="pct"/>
            <w:shd w:val="clear" w:color="auto" w:fill="FFFFFF" w:themeFill="background1"/>
          </w:tcPr>
          <w:p w14:paraId="38321604" w14:textId="77777777" w:rsidR="00E6560B" w:rsidRPr="00313547" w:rsidRDefault="00E6560B" w:rsidP="005D36DB">
            <w:pPr>
              <w:rPr>
                <w:sz w:val="20"/>
                <w:szCs w:val="20"/>
              </w:rPr>
            </w:pPr>
          </w:p>
        </w:tc>
      </w:tr>
      <w:tr w:rsidR="00E6560B" w:rsidRPr="00313547" w14:paraId="0AE4ABF8" w14:textId="77777777" w:rsidTr="005D36DB">
        <w:tc>
          <w:tcPr>
            <w:tcW w:w="806" w:type="pct"/>
          </w:tcPr>
          <w:p w14:paraId="6F1A38E2" w14:textId="77777777" w:rsidR="00E6560B" w:rsidRPr="00A97C6C" w:rsidRDefault="00E6560B" w:rsidP="005D36DB">
            <w:pPr>
              <w:rPr>
                <w:sz w:val="20"/>
                <w:szCs w:val="20"/>
              </w:rPr>
            </w:pPr>
            <w:r w:rsidRPr="00A97C6C">
              <w:rPr>
                <w:sz w:val="20"/>
                <w:szCs w:val="20"/>
              </w:rPr>
              <w:t xml:space="preserve">Please </w:t>
            </w:r>
            <w:r>
              <w:rPr>
                <w:sz w:val="20"/>
                <w:szCs w:val="20"/>
              </w:rPr>
              <w:t>list</w:t>
            </w:r>
            <w:r w:rsidRPr="00A97C6C">
              <w:rPr>
                <w:sz w:val="20"/>
                <w:szCs w:val="20"/>
              </w:rPr>
              <w:t>:</w:t>
            </w:r>
          </w:p>
        </w:tc>
        <w:tc>
          <w:tcPr>
            <w:tcW w:w="1336" w:type="pct"/>
          </w:tcPr>
          <w:p w14:paraId="5C053867" w14:textId="77777777" w:rsidR="00E6560B" w:rsidRPr="00313547" w:rsidRDefault="00E6560B" w:rsidP="005D36DB">
            <w:pPr>
              <w:rPr>
                <w:sz w:val="20"/>
                <w:szCs w:val="20"/>
              </w:rPr>
            </w:pPr>
          </w:p>
        </w:tc>
        <w:tc>
          <w:tcPr>
            <w:tcW w:w="898" w:type="pct"/>
            <w:vAlign w:val="center"/>
          </w:tcPr>
          <w:p w14:paraId="4F519C76" w14:textId="77777777" w:rsidR="00E6560B" w:rsidRPr="00417E8E" w:rsidRDefault="00E6560B" w:rsidP="005D36DB">
            <w:pPr>
              <w:rPr>
                <w:sz w:val="20"/>
                <w:szCs w:val="20"/>
              </w:rPr>
            </w:pPr>
          </w:p>
        </w:tc>
        <w:tc>
          <w:tcPr>
            <w:tcW w:w="700" w:type="pct"/>
            <w:shd w:val="clear" w:color="auto" w:fill="FFFFFF" w:themeFill="background1"/>
          </w:tcPr>
          <w:p w14:paraId="08EC3AEE" w14:textId="77777777" w:rsidR="00E6560B" w:rsidRPr="00313547" w:rsidRDefault="00E6560B" w:rsidP="005D36DB">
            <w:pPr>
              <w:rPr>
                <w:sz w:val="20"/>
                <w:szCs w:val="20"/>
              </w:rPr>
            </w:pPr>
          </w:p>
        </w:tc>
        <w:tc>
          <w:tcPr>
            <w:tcW w:w="749" w:type="pct"/>
            <w:shd w:val="clear" w:color="auto" w:fill="FFFFFF" w:themeFill="background1"/>
          </w:tcPr>
          <w:p w14:paraId="699D6AB1" w14:textId="77777777" w:rsidR="00E6560B" w:rsidRPr="00313547" w:rsidRDefault="00E6560B" w:rsidP="005D36DB">
            <w:pPr>
              <w:rPr>
                <w:sz w:val="20"/>
                <w:szCs w:val="20"/>
              </w:rPr>
            </w:pPr>
          </w:p>
        </w:tc>
        <w:tc>
          <w:tcPr>
            <w:tcW w:w="511" w:type="pct"/>
            <w:shd w:val="clear" w:color="auto" w:fill="FFFFFF" w:themeFill="background1"/>
          </w:tcPr>
          <w:p w14:paraId="5712E4E9" w14:textId="77777777" w:rsidR="00E6560B" w:rsidRPr="00313547" w:rsidRDefault="00E6560B" w:rsidP="005D36DB">
            <w:pPr>
              <w:rPr>
                <w:sz w:val="20"/>
                <w:szCs w:val="20"/>
              </w:rPr>
            </w:pPr>
          </w:p>
        </w:tc>
      </w:tr>
      <w:tr w:rsidR="00E6560B" w:rsidRPr="00313547" w14:paraId="184682C3" w14:textId="77777777" w:rsidTr="005D36DB">
        <w:tc>
          <w:tcPr>
            <w:tcW w:w="806" w:type="pct"/>
          </w:tcPr>
          <w:p w14:paraId="01A5FD19" w14:textId="77777777" w:rsidR="00E6560B" w:rsidRPr="00162F24" w:rsidRDefault="00E6560B" w:rsidP="005D36DB">
            <w:pPr>
              <w:rPr>
                <w:sz w:val="20"/>
                <w:szCs w:val="20"/>
              </w:rPr>
            </w:pPr>
          </w:p>
        </w:tc>
        <w:tc>
          <w:tcPr>
            <w:tcW w:w="1336" w:type="pct"/>
          </w:tcPr>
          <w:p w14:paraId="57EB5DCE" w14:textId="77777777" w:rsidR="00E6560B" w:rsidRPr="00313547" w:rsidRDefault="00E6560B" w:rsidP="005D36DB">
            <w:pPr>
              <w:rPr>
                <w:sz w:val="20"/>
                <w:szCs w:val="20"/>
              </w:rPr>
            </w:pPr>
          </w:p>
        </w:tc>
        <w:tc>
          <w:tcPr>
            <w:tcW w:w="898" w:type="pct"/>
            <w:vAlign w:val="center"/>
          </w:tcPr>
          <w:p w14:paraId="7B7A8ABD" w14:textId="77777777" w:rsidR="00E6560B" w:rsidRPr="00417E8E" w:rsidRDefault="00E6560B" w:rsidP="005D36DB">
            <w:pPr>
              <w:rPr>
                <w:sz w:val="20"/>
                <w:szCs w:val="20"/>
              </w:rPr>
            </w:pPr>
          </w:p>
        </w:tc>
        <w:tc>
          <w:tcPr>
            <w:tcW w:w="700" w:type="pct"/>
            <w:shd w:val="clear" w:color="auto" w:fill="FFFFFF" w:themeFill="background1"/>
          </w:tcPr>
          <w:p w14:paraId="27297756" w14:textId="77777777" w:rsidR="00E6560B" w:rsidRPr="00313547" w:rsidRDefault="00E6560B" w:rsidP="005D36DB">
            <w:pPr>
              <w:rPr>
                <w:sz w:val="20"/>
                <w:szCs w:val="20"/>
              </w:rPr>
            </w:pPr>
          </w:p>
        </w:tc>
        <w:tc>
          <w:tcPr>
            <w:tcW w:w="749" w:type="pct"/>
            <w:shd w:val="clear" w:color="auto" w:fill="FFFFFF" w:themeFill="background1"/>
          </w:tcPr>
          <w:p w14:paraId="7CD3EFB0" w14:textId="77777777" w:rsidR="00E6560B" w:rsidRPr="00313547" w:rsidRDefault="00E6560B" w:rsidP="005D36DB">
            <w:pPr>
              <w:rPr>
                <w:sz w:val="20"/>
                <w:szCs w:val="20"/>
              </w:rPr>
            </w:pPr>
          </w:p>
        </w:tc>
        <w:tc>
          <w:tcPr>
            <w:tcW w:w="511" w:type="pct"/>
            <w:shd w:val="clear" w:color="auto" w:fill="FFFFFF" w:themeFill="background1"/>
          </w:tcPr>
          <w:p w14:paraId="699F1DC8" w14:textId="77777777" w:rsidR="00E6560B" w:rsidRPr="00313547" w:rsidRDefault="00E6560B" w:rsidP="005D36DB">
            <w:pPr>
              <w:rPr>
                <w:sz w:val="20"/>
                <w:szCs w:val="20"/>
              </w:rPr>
            </w:pPr>
          </w:p>
        </w:tc>
      </w:tr>
      <w:tr w:rsidR="00E6560B" w:rsidRPr="00313547" w14:paraId="4887D388" w14:textId="77777777" w:rsidTr="005D36DB">
        <w:tc>
          <w:tcPr>
            <w:tcW w:w="806" w:type="pct"/>
          </w:tcPr>
          <w:p w14:paraId="6413250A" w14:textId="77777777" w:rsidR="00E6560B" w:rsidRPr="00162F24" w:rsidRDefault="00E6560B" w:rsidP="005D36DB">
            <w:pPr>
              <w:rPr>
                <w:sz w:val="20"/>
                <w:szCs w:val="20"/>
              </w:rPr>
            </w:pPr>
          </w:p>
        </w:tc>
        <w:tc>
          <w:tcPr>
            <w:tcW w:w="1336" w:type="pct"/>
          </w:tcPr>
          <w:p w14:paraId="4D80E54C" w14:textId="77777777" w:rsidR="00E6560B" w:rsidRPr="00313547" w:rsidRDefault="00E6560B" w:rsidP="005D36DB">
            <w:pPr>
              <w:rPr>
                <w:sz w:val="20"/>
                <w:szCs w:val="20"/>
              </w:rPr>
            </w:pPr>
          </w:p>
        </w:tc>
        <w:tc>
          <w:tcPr>
            <w:tcW w:w="898" w:type="pct"/>
            <w:vAlign w:val="center"/>
          </w:tcPr>
          <w:p w14:paraId="64E96754" w14:textId="77777777" w:rsidR="00E6560B" w:rsidRPr="00417E8E" w:rsidRDefault="00E6560B" w:rsidP="005D36DB">
            <w:pPr>
              <w:rPr>
                <w:sz w:val="20"/>
                <w:szCs w:val="20"/>
              </w:rPr>
            </w:pPr>
          </w:p>
        </w:tc>
        <w:tc>
          <w:tcPr>
            <w:tcW w:w="700" w:type="pct"/>
            <w:shd w:val="clear" w:color="auto" w:fill="FFFFFF" w:themeFill="background1"/>
          </w:tcPr>
          <w:p w14:paraId="692DEFBC" w14:textId="77777777" w:rsidR="00E6560B" w:rsidRPr="00313547" w:rsidRDefault="00E6560B" w:rsidP="005D36DB">
            <w:pPr>
              <w:rPr>
                <w:sz w:val="20"/>
                <w:szCs w:val="20"/>
              </w:rPr>
            </w:pPr>
          </w:p>
        </w:tc>
        <w:tc>
          <w:tcPr>
            <w:tcW w:w="749" w:type="pct"/>
            <w:shd w:val="clear" w:color="auto" w:fill="FFFFFF" w:themeFill="background1"/>
          </w:tcPr>
          <w:p w14:paraId="2252E08E" w14:textId="77777777" w:rsidR="00E6560B" w:rsidRPr="00313547" w:rsidRDefault="00E6560B" w:rsidP="005D36DB">
            <w:pPr>
              <w:rPr>
                <w:sz w:val="20"/>
                <w:szCs w:val="20"/>
              </w:rPr>
            </w:pPr>
          </w:p>
        </w:tc>
        <w:tc>
          <w:tcPr>
            <w:tcW w:w="511" w:type="pct"/>
            <w:shd w:val="clear" w:color="auto" w:fill="FFFFFF" w:themeFill="background1"/>
          </w:tcPr>
          <w:p w14:paraId="607D7895" w14:textId="77777777" w:rsidR="00E6560B" w:rsidRPr="00313547" w:rsidRDefault="00E6560B" w:rsidP="005D36DB">
            <w:pPr>
              <w:rPr>
                <w:sz w:val="20"/>
                <w:szCs w:val="20"/>
              </w:rPr>
            </w:pPr>
          </w:p>
        </w:tc>
      </w:tr>
      <w:tr w:rsidR="00E6560B" w:rsidRPr="00313547" w14:paraId="794035FA" w14:textId="77777777" w:rsidTr="005D36DB">
        <w:tc>
          <w:tcPr>
            <w:tcW w:w="806" w:type="pct"/>
          </w:tcPr>
          <w:p w14:paraId="1DCAD55C" w14:textId="77777777" w:rsidR="00E6560B" w:rsidRPr="00162F24" w:rsidRDefault="00E6560B" w:rsidP="005D36DB">
            <w:pPr>
              <w:rPr>
                <w:sz w:val="20"/>
                <w:szCs w:val="20"/>
              </w:rPr>
            </w:pPr>
          </w:p>
        </w:tc>
        <w:tc>
          <w:tcPr>
            <w:tcW w:w="1336" w:type="pct"/>
          </w:tcPr>
          <w:p w14:paraId="0967F2CE" w14:textId="77777777" w:rsidR="00E6560B" w:rsidRPr="00313547" w:rsidRDefault="00E6560B" w:rsidP="005D36DB">
            <w:pPr>
              <w:rPr>
                <w:sz w:val="20"/>
                <w:szCs w:val="20"/>
              </w:rPr>
            </w:pPr>
          </w:p>
        </w:tc>
        <w:tc>
          <w:tcPr>
            <w:tcW w:w="898" w:type="pct"/>
            <w:vAlign w:val="center"/>
          </w:tcPr>
          <w:p w14:paraId="73DA8E24" w14:textId="77777777" w:rsidR="00E6560B" w:rsidRPr="00417E8E" w:rsidRDefault="00E6560B" w:rsidP="005D36DB">
            <w:pPr>
              <w:rPr>
                <w:sz w:val="20"/>
                <w:szCs w:val="20"/>
              </w:rPr>
            </w:pPr>
          </w:p>
        </w:tc>
        <w:tc>
          <w:tcPr>
            <w:tcW w:w="700" w:type="pct"/>
            <w:shd w:val="clear" w:color="auto" w:fill="FFFFFF" w:themeFill="background1"/>
          </w:tcPr>
          <w:p w14:paraId="228BFBF5" w14:textId="77777777" w:rsidR="00E6560B" w:rsidRPr="00313547" w:rsidRDefault="00E6560B" w:rsidP="005D36DB">
            <w:pPr>
              <w:rPr>
                <w:sz w:val="20"/>
                <w:szCs w:val="20"/>
              </w:rPr>
            </w:pPr>
          </w:p>
        </w:tc>
        <w:tc>
          <w:tcPr>
            <w:tcW w:w="749" w:type="pct"/>
            <w:shd w:val="clear" w:color="auto" w:fill="FFFFFF" w:themeFill="background1"/>
          </w:tcPr>
          <w:p w14:paraId="6F4DA9A9" w14:textId="77777777" w:rsidR="00E6560B" w:rsidRPr="00313547" w:rsidRDefault="00E6560B" w:rsidP="005D36DB">
            <w:pPr>
              <w:rPr>
                <w:sz w:val="20"/>
                <w:szCs w:val="20"/>
              </w:rPr>
            </w:pPr>
          </w:p>
        </w:tc>
        <w:tc>
          <w:tcPr>
            <w:tcW w:w="511" w:type="pct"/>
            <w:shd w:val="clear" w:color="auto" w:fill="FFFFFF" w:themeFill="background1"/>
          </w:tcPr>
          <w:p w14:paraId="1172B96D" w14:textId="77777777" w:rsidR="00E6560B" w:rsidRPr="00313547" w:rsidRDefault="00E6560B" w:rsidP="005D36DB">
            <w:pPr>
              <w:rPr>
                <w:sz w:val="20"/>
                <w:szCs w:val="20"/>
              </w:rPr>
            </w:pPr>
          </w:p>
        </w:tc>
      </w:tr>
      <w:tr w:rsidR="00E6560B" w:rsidRPr="00313547" w14:paraId="1A0CB416" w14:textId="77777777" w:rsidTr="005D36DB">
        <w:tc>
          <w:tcPr>
            <w:tcW w:w="806" w:type="pct"/>
          </w:tcPr>
          <w:p w14:paraId="2F63BE8B" w14:textId="77777777" w:rsidR="00E6560B" w:rsidRDefault="00E6560B" w:rsidP="005D36DB"/>
        </w:tc>
        <w:tc>
          <w:tcPr>
            <w:tcW w:w="1336" w:type="pct"/>
          </w:tcPr>
          <w:p w14:paraId="2091A4C1" w14:textId="77777777" w:rsidR="00E6560B" w:rsidRPr="00313547" w:rsidRDefault="00E6560B" w:rsidP="005D36DB">
            <w:pPr>
              <w:rPr>
                <w:sz w:val="20"/>
                <w:szCs w:val="20"/>
              </w:rPr>
            </w:pPr>
          </w:p>
        </w:tc>
        <w:tc>
          <w:tcPr>
            <w:tcW w:w="898" w:type="pct"/>
            <w:vAlign w:val="center"/>
          </w:tcPr>
          <w:p w14:paraId="0E6A33D1" w14:textId="77777777" w:rsidR="00E6560B" w:rsidRPr="00417E8E" w:rsidRDefault="00E6560B" w:rsidP="005D36DB">
            <w:pPr>
              <w:rPr>
                <w:sz w:val="20"/>
                <w:szCs w:val="20"/>
              </w:rPr>
            </w:pPr>
          </w:p>
        </w:tc>
        <w:tc>
          <w:tcPr>
            <w:tcW w:w="700" w:type="pct"/>
            <w:shd w:val="clear" w:color="auto" w:fill="FFFFFF" w:themeFill="background1"/>
          </w:tcPr>
          <w:p w14:paraId="1B529924" w14:textId="77777777" w:rsidR="00E6560B" w:rsidRPr="00313547" w:rsidRDefault="00E6560B" w:rsidP="005D36DB">
            <w:pPr>
              <w:rPr>
                <w:sz w:val="20"/>
                <w:szCs w:val="20"/>
              </w:rPr>
            </w:pPr>
          </w:p>
        </w:tc>
        <w:tc>
          <w:tcPr>
            <w:tcW w:w="749" w:type="pct"/>
            <w:shd w:val="clear" w:color="auto" w:fill="FFFFFF" w:themeFill="background1"/>
          </w:tcPr>
          <w:p w14:paraId="4AC9C71B" w14:textId="77777777" w:rsidR="00E6560B" w:rsidRPr="00313547" w:rsidRDefault="00E6560B" w:rsidP="005D36DB">
            <w:pPr>
              <w:rPr>
                <w:sz w:val="20"/>
                <w:szCs w:val="20"/>
              </w:rPr>
            </w:pPr>
          </w:p>
        </w:tc>
        <w:tc>
          <w:tcPr>
            <w:tcW w:w="511" w:type="pct"/>
            <w:shd w:val="clear" w:color="auto" w:fill="FFFFFF" w:themeFill="background1"/>
          </w:tcPr>
          <w:p w14:paraId="39E82629" w14:textId="77777777" w:rsidR="00E6560B" w:rsidRPr="00313547" w:rsidRDefault="00E6560B" w:rsidP="005D36DB">
            <w:pPr>
              <w:rPr>
                <w:sz w:val="20"/>
                <w:szCs w:val="20"/>
              </w:rPr>
            </w:pPr>
          </w:p>
        </w:tc>
      </w:tr>
      <w:tr w:rsidR="00E6560B" w:rsidRPr="00313547" w14:paraId="76521154" w14:textId="77777777" w:rsidTr="005D36DB">
        <w:tc>
          <w:tcPr>
            <w:tcW w:w="806" w:type="pct"/>
          </w:tcPr>
          <w:p w14:paraId="74656484" w14:textId="77777777" w:rsidR="00E6560B" w:rsidRDefault="00E6560B" w:rsidP="005D36DB">
            <w:pPr>
              <w:rPr>
                <w:sz w:val="20"/>
                <w:szCs w:val="20"/>
              </w:rPr>
            </w:pPr>
          </w:p>
        </w:tc>
        <w:tc>
          <w:tcPr>
            <w:tcW w:w="1336" w:type="pct"/>
          </w:tcPr>
          <w:p w14:paraId="70CE0274" w14:textId="77777777" w:rsidR="00E6560B" w:rsidRPr="00313547" w:rsidRDefault="00E6560B" w:rsidP="005D36DB">
            <w:pPr>
              <w:rPr>
                <w:sz w:val="20"/>
                <w:szCs w:val="20"/>
              </w:rPr>
            </w:pPr>
          </w:p>
        </w:tc>
        <w:tc>
          <w:tcPr>
            <w:tcW w:w="898" w:type="pct"/>
            <w:vAlign w:val="center"/>
          </w:tcPr>
          <w:p w14:paraId="2A410890" w14:textId="77777777" w:rsidR="00E6560B" w:rsidRPr="00417E8E" w:rsidRDefault="00E6560B" w:rsidP="005D36DB">
            <w:pPr>
              <w:rPr>
                <w:sz w:val="20"/>
                <w:szCs w:val="20"/>
              </w:rPr>
            </w:pPr>
          </w:p>
        </w:tc>
        <w:tc>
          <w:tcPr>
            <w:tcW w:w="700" w:type="pct"/>
            <w:shd w:val="clear" w:color="auto" w:fill="FFFFFF" w:themeFill="background1"/>
          </w:tcPr>
          <w:p w14:paraId="1BF24FDC" w14:textId="77777777" w:rsidR="00E6560B" w:rsidRPr="00313547" w:rsidRDefault="00E6560B" w:rsidP="005D36DB">
            <w:pPr>
              <w:rPr>
                <w:sz w:val="20"/>
                <w:szCs w:val="20"/>
              </w:rPr>
            </w:pPr>
          </w:p>
        </w:tc>
        <w:tc>
          <w:tcPr>
            <w:tcW w:w="749" w:type="pct"/>
            <w:shd w:val="clear" w:color="auto" w:fill="FFFFFF" w:themeFill="background1"/>
          </w:tcPr>
          <w:p w14:paraId="39EE72B4" w14:textId="77777777" w:rsidR="00E6560B" w:rsidRPr="00313547" w:rsidRDefault="00E6560B" w:rsidP="005D36DB">
            <w:pPr>
              <w:rPr>
                <w:sz w:val="20"/>
                <w:szCs w:val="20"/>
              </w:rPr>
            </w:pPr>
          </w:p>
        </w:tc>
        <w:tc>
          <w:tcPr>
            <w:tcW w:w="511" w:type="pct"/>
            <w:shd w:val="clear" w:color="auto" w:fill="FFFFFF" w:themeFill="background1"/>
          </w:tcPr>
          <w:p w14:paraId="0BB33DAF" w14:textId="77777777" w:rsidR="00E6560B" w:rsidRPr="00313547" w:rsidRDefault="00E6560B" w:rsidP="005D36DB">
            <w:pPr>
              <w:rPr>
                <w:sz w:val="20"/>
                <w:szCs w:val="20"/>
              </w:rPr>
            </w:pPr>
          </w:p>
        </w:tc>
      </w:tr>
      <w:tr w:rsidR="00E6560B" w:rsidRPr="00313547" w14:paraId="4E84B439" w14:textId="77777777" w:rsidTr="005D36DB">
        <w:tc>
          <w:tcPr>
            <w:tcW w:w="806" w:type="pct"/>
          </w:tcPr>
          <w:p w14:paraId="456FAA8B" w14:textId="77777777" w:rsidR="00E6560B" w:rsidRDefault="00E6560B" w:rsidP="005D36DB">
            <w:pPr>
              <w:rPr>
                <w:sz w:val="20"/>
                <w:szCs w:val="20"/>
              </w:rPr>
            </w:pPr>
          </w:p>
        </w:tc>
        <w:tc>
          <w:tcPr>
            <w:tcW w:w="1336" w:type="pct"/>
          </w:tcPr>
          <w:p w14:paraId="67EE670B" w14:textId="77777777" w:rsidR="00E6560B" w:rsidRPr="00313547" w:rsidRDefault="00E6560B" w:rsidP="005D36DB">
            <w:pPr>
              <w:rPr>
                <w:sz w:val="20"/>
                <w:szCs w:val="20"/>
              </w:rPr>
            </w:pPr>
          </w:p>
        </w:tc>
        <w:tc>
          <w:tcPr>
            <w:tcW w:w="898" w:type="pct"/>
            <w:vAlign w:val="center"/>
          </w:tcPr>
          <w:p w14:paraId="3FF3F4F3" w14:textId="77777777" w:rsidR="00E6560B" w:rsidRPr="00417E8E" w:rsidRDefault="00E6560B" w:rsidP="005D36DB">
            <w:pPr>
              <w:rPr>
                <w:sz w:val="20"/>
                <w:szCs w:val="20"/>
              </w:rPr>
            </w:pPr>
          </w:p>
        </w:tc>
        <w:tc>
          <w:tcPr>
            <w:tcW w:w="700" w:type="pct"/>
            <w:shd w:val="clear" w:color="auto" w:fill="FFFFFF" w:themeFill="background1"/>
          </w:tcPr>
          <w:p w14:paraId="0D08F3F5" w14:textId="77777777" w:rsidR="00E6560B" w:rsidRPr="00313547" w:rsidRDefault="00E6560B" w:rsidP="005D36DB">
            <w:pPr>
              <w:rPr>
                <w:sz w:val="20"/>
                <w:szCs w:val="20"/>
              </w:rPr>
            </w:pPr>
          </w:p>
        </w:tc>
        <w:tc>
          <w:tcPr>
            <w:tcW w:w="749" w:type="pct"/>
            <w:shd w:val="clear" w:color="auto" w:fill="FFFFFF" w:themeFill="background1"/>
          </w:tcPr>
          <w:p w14:paraId="2B83C423" w14:textId="77777777" w:rsidR="00E6560B" w:rsidRPr="00313547" w:rsidRDefault="00E6560B" w:rsidP="005D36DB">
            <w:pPr>
              <w:rPr>
                <w:sz w:val="20"/>
                <w:szCs w:val="20"/>
              </w:rPr>
            </w:pPr>
          </w:p>
        </w:tc>
        <w:tc>
          <w:tcPr>
            <w:tcW w:w="511" w:type="pct"/>
            <w:shd w:val="clear" w:color="auto" w:fill="FFFFFF" w:themeFill="background1"/>
          </w:tcPr>
          <w:p w14:paraId="79084D26" w14:textId="77777777" w:rsidR="00E6560B" w:rsidRPr="00313547" w:rsidRDefault="00E6560B" w:rsidP="005D36DB">
            <w:pPr>
              <w:rPr>
                <w:sz w:val="20"/>
                <w:szCs w:val="20"/>
              </w:rPr>
            </w:pPr>
          </w:p>
        </w:tc>
      </w:tr>
      <w:tr w:rsidR="00E6560B" w:rsidRPr="00313547" w14:paraId="170134A3" w14:textId="77777777" w:rsidTr="005D36DB">
        <w:tc>
          <w:tcPr>
            <w:tcW w:w="806" w:type="pct"/>
          </w:tcPr>
          <w:p w14:paraId="5402CDA4" w14:textId="77777777" w:rsidR="00E6560B" w:rsidRDefault="00E6560B" w:rsidP="005D36DB">
            <w:pPr>
              <w:rPr>
                <w:sz w:val="20"/>
                <w:szCs w:val="20"/>
              </w:rPr>
            </w:pPr>
          </w:p>
        </w:tc>
        <w:tc>
          <w:tcPr>
            <w:tcW w:w="1336" w:type="pct"/>
          </w:tcPr>
          <w:p w14:paraId="0A97EBBE" w14:textId="77777777" w:rsidR="00E6560B" w:rsidRPr="00313547" w:rsidRDefault="00E6560B" w:rsidP="005D36DB">
            <w:pPr>
              <w:rPr>
                <w:sz w:val="20"/>
                <w:szCs w:val="20"/>
              </w:rPr>
            </w:pPr>
          </w:p>
        </w:tc>
        <w:tc>
          <w:tcPr>
            <w:tcW w:w="898" w:type="pct"/>
            <w:vAlign w:val="center"/>
          </w:tcPr>
          <w:p w14:paraId="013B7F5D" w14:textId="77777777" w:rsidR="00E6560B" w:rsidRPr="00417E8E" w:rsidRDefault="00E6560B" w:rsidP="005D36DB">
            <w:pPr>
              <w:rPr>
                <w:sz w:val="20"/>
                <w:szCs w:val="20"/>
              </w:rPr>
            </w:pPr>
          </w:p>
        </w:tc>
        <w:tc>
          <w:tcPr>
            <w:tcW w:w="700" w:type="pct"/>
            <w:shd w:val="clear" w:color="auto" w:fill="FFFFFF" w:themeFill="background1"/>
          </w:tcPr>
          <w:p w14:paraId="6291D41F" w14:textId="77777777" w:rsidR="00E6560B" w:rsidRPr="00313547" w:rsidRDefault="00E6560B" w:rsidP="005D36DB">
            <w:pPr>
              <w:rPr>
                <w:sz w:val="20"/>
                <w:szCs w:val="20"/>
              </w:rPr>
            </w:pPr>
          </w:p>
        </w:tc>
        <w:tc>
          <w:tcPr>
            <w:tcW w:w="749" w:type="pct"/>
            <w:shd w:val="clear" w:color="auto" w:fill="FFFFFF" w:themeFill="background1"/>
          </w:tcPr>
          <w:p w14:paraId="0F839217" w14:textId="77777777" w:rsidR="00E6560B" w:rsidRPr="00313547" w:rsidRDefault="00E6560B" w:rsidP="005D36DB">
            <w:pPr>
              <w:rPr>
                <w:sz w:val="20"/>
                <w:szCs w:val="20"/>
              </w:rPr>
            </w:pPr>
          </w:p>
        </w:tc>
        <w:tc>
          <w:tcPr>
            <w:tcW w:w="511" w:type="pct"/>
            <w:shd w:val="clear" w:color="auto" w:fill="FFFFFF" w:themeFill="background1"/>
          </w:tcPr>
          <w:p w14:paraId="45883FB7" w14:textId="77777777" w:rsidR="00E6560B" w:rsidRPr="00313547" w:rsidRDefault="00E6560B" w:rsidP="005D36DB">
            <w:pPr>
              <w:rPr>
                <w:sz w:val="20"/>
                <w:szCs w:val="20"/>
              </w:rPr>
            </w:pPr>
          </w:p>
        </w:tc>
      </w:tr>
      <w:tr w:rsidR="00E6560B" w:rsidRPr="00313547" w14:paraId="2A07DE86" w14:textId="77777777" w:rsidTr="005D36DB">
        <w:tc>
          <w:tcPr>
            <w:tcW w:w="806" w:type="pct"/>
          </w:tcPr>
          <w:p w14:paraId="244D0CEF" w14:textId="77777777" w:rsidR="00E6560B" w:rsidRDefault="00E6560B" w:rsidP="005D36DB">
            <w:pPr>
              <w:rPr>
                <w:sz w:val="20"/>
                <w:szCs w:val="20"/>
              </w:rPr>
            </w:pPr>
          </w:p>
        </w:tc>
        <w:tc>
          <w:tcPr>
            <w:tcW w:w="1336" w:type="pct"/>
          </w:tcPr>
          <w:p w14:paraId="3AF5FDBF" w14:textId="77777777" w:rsidR="00E6560B" w:rsidRPr="00313547" w:rsidRDefault="00E6560B" w:rsidP="005D36DB">
            <w:pPr>
              <w:rPr>
                <w:sz w:val="20"/>
                <w:szCs w:val="20"/>
              </w:rPr>
            </w:pPr>
          </w:p>
        </w:tc>
        <w:tc>
          <w:tcPr>
            <w:tcW w:w="898" w:type="pct"/>
            <w:vAlign w:val="center"/>
          </w:tcPr>
          <w:p w14:paraId="0A1468D3" w14:textId="77777777" w:rsidR="00E6560B" w:rsidRPr="00417E8E" w:rsidRDefault="00E6560B" w:rsidP="005D36DB">
            <w:pPr>
              <w:rPr>
                <w:sz w:val="20"/>
                <w:szCs w:val="20"/>
              </w:rPr>
            </w:pPr>
          </w:p>
        </w:tc>
        <w:tc>
          <w:tcPr>
            <w:tcW w:w="700" w:type="pct"/>
            <w:shd w:val="clear" w:color="auto" w:fill="FFFFFF" w:themeFill="background1"/>
          </w:tcPr>
          <w:p w14:paraId="4C06115C" w14:textId="77777777" w:rsidR="00E6560B" w:rsidRPr="00313547" w:rsidRDefault="00E6560B" w:rsidP="005D36DB">
            <w:pPr>
              <w:rPr>
                <w:sz w:val="20"/>
                <w:szCs w:val="20"/>
              </w:rPr>
            </w:pPr>
          </w:p>
        </w:tc>
        <w:tc>
          <w:tcPr>
            <w:tcW w:w="749" w:type="pct"/>
            <w:shd w:val="clear" w:color="auto" w:fill="FFFFFF" w:themeFill="background1"/>
          </w:tcPr>
          <w:p w14:paraId="1FD4E4CB" w14:textId="77777777" w:rsidR="00E6560B" w:rsidRPr="00313547" w:rsidRDefault="00E6560B" w:rsidP="005D36DB">
            <w:pPr>
              <w:rPr>
                <w:sz w:val="20"/>
                <w:szCs w:val="20"/>
              </w:rPr>
            </w:pPr>
          </w:p>
        </w:tc>
        <w:tc>
          <w:tcPr>
            <w:tcW w:w="511" w:type="pct"/>
            <w:shd w:val="clear" w:color="auto" w:fill="FFFFFF" w:themeFill="background1"/>
          </w:tcPr>
          <w:p w14:paraId="455A0894" w14:textId="77777777" w:rsidR="00E6560B" w:rsidRPr="00313547" w:rsidRDefault="00E6560B" w:rsidP="005D36DB">
            <w:pPr>
              <w:rPr>
                <w:sz w:val="20"/>
                <w:szCs w:val="20"/>
              </w:rPr>
            </w:pPr>
          </w:p>
        </w:tc>
      </w:tr>
      <w:tr w:rsidR="00E6560B" w:rsidRPr="00313547" w14:paraId="0611A7A8" w14:textId="77777777" w:rsidTr="005D36DB">
        <w:tc>
          <w:tcPr>
            <w:tcW w:w="806" w:type="pct"/>
          </w:tcPr>
          <w:p w14:paraId="0AF07C78" w14:textId="77777777" w:rsidR="00E6560B" w:rsidRDefault="00E6560B" w:rsidP="005D36DB">
            <w:pPr>
              <w:rPr>
                <w:sz w:val="20"/>
                <w:szCs w:val="20"/>
              </w:rPr>
            </w:pPr>
          </w:p>
        </w:tc>
        <w:tc>
          <w:tcPr>
            <w:tcW w:w="1336" w:type="pct"/>
          </w:tcPr>
          <w:p w14:paraId="46E3CD80" w14:textId="77777777" w:rsidR="00E6560B" w:rsidRPr="00313547" w:rsidRDefault="00E6560B" w:rsidP="005D36DB">
            <w:pPr>
              <w:rPr>
                <w:sz w:val="20"/>
                <w:szCs w:val="20"/>
              </w:rPr>
            </w:pPr>
          </w:p>
        </w:tc>
        <w:tc>
          <w:tcPr>
            <w:tcW w:w="898" w:type="pct"/>
            <w:vAlign w:val="center"/>
          </w:tcPr>
          <w:p w14:paraId="2C4F9366" w14:textId="77777777" w:rsidR="00E6560B" w:rsidRPr="00417E8E" w:rsidRDefault="00E6560B" w:rsidP="005D36DB">
            <w:pPr>
              <w:rPr>
                <w:sz w:val="20"/>
                <w:szCs w:val="20"/>
              </w:rPr>
            </w:pPr>
          </w:p>
        </w:tc>
        <w:tc>
          <w:tcPr>
            <w:tcW w:w="700" w:type="pct"/>
            <w:shd w:val="clear" w:color="auto" w:fill="FFFFFF" w:themeFill="background1"/>
          </w:tcPr>
          <w:p w14:paraId="03D6791D" w14:textId="77777777" w:rsidR="00E6560B" w:rsidRPr="00313547" w:rsidRDefault="00E6560B" w:rsidP="005D36DB">
            <w:pPr>
              <w:rPr>
                <w:sz w:val="20"/>
                <w:szCs w:val="20"/>
              </w:rPr>
            </w:pPr>
          </w:p>
        </w:tc>
        <w:tc>
          <w:tcPr>
            <w:tcW w:w="749" w:type="pct"/>
            <w:shd w:val="clear" w:color="auto" w:fill="FFFFFF" w:themeFill="background1"/>
          </w:tcPr>
          <w:p w14:paraId="55F104D5" w14:textId="77777777" w:rsidR="00E6560B" w:rsidRPr="00313547" w:rsidRDefault="00E6560B" w:rsidP="005D36DB">
            <w:pPr>
              <w:rPr>
                <w:sz w:val="20"/>
                <w:szCs w:val="20"/>
              </w:rPr>
            </w:pPr>
          </w:p>
        </w:tc>
        <w:tc>
          <w:tcPr>
            <w:tcW w:w="511" w:type="pct"/>
            <w:shd w:val="clear" w:color="auto" w:fill="FFFFFF" w:themeFill="background1"/>
          </w:tcPr>
          <w:p w14:paraId="1A533B2B" w14:textId="77777777" w:rsidR="00E6560B" w:rsidRPr="00313547" w:rsidRDefault="00E6560B" w:rsidP="005D36DB">
            <w:pPr>
              <w:rPr>
                <w:sz w:val="20"/>
                <w:szCs w:val="20"/>
              </w:rPr>
            </w:pPr>
          </w:p>
        </w:tc>
      </w:tr>
      <w:tr w:rsidR="00E6560B" w:rsidRPr="00313547" w14:paraId="6B1E5653" w14:textId="77777777" w:rsidTr="005D36DB">
        <w:tc>
          <w:tcPr>
            <w:tcW w:w="806" w:type="pct"/>
          </w:tcPr>
          <w:p w14:paraId="6E5992FF" w14:textId="77777777" w:rsidR="00E6560B" w:rsidRDefault="00E6560B" w:rsidP="005D36DB">
            <w:pPr>
              <w:rPr>
                <w:sz w:val="20"/>
                <w:szCs w:val="20"/>
              </w:rPr>
            </w:pPr>
          </w:p>
        </w:tc>
        <w:tc>
          <w:tcPr>
            <w:tcW w:w="1336" w:type="pct"/>
          </w:tcPr>
          <w:p w14:paraId="7D693EF6" w14:textId="77777777" w:rsidR="00E6560B" w:rsidRPr="00313547" w:rsidRDefault="00E6560B" w:rsidP="005D36DB">
            <w:pPr>
              <w:rPr>
                <w:sz w:val="20"/>
                <w:szCs w:val="20"/>
              </w:rPr>
            </w:pPr>
          </w:p>
        </w:tc>
        <w:tc>
          <w:tcPr>
            <w:tcW w:w="898" w:type="pct"/>
            <w:vAlign w:val="center"/>
          </w:tcPr>
          <w:p w14:paraId="49A16D29" w14:textId="77777777" w:rsidR="00E6560B" w:rsidRPr="00417E8E" w:rsidRDefault="00E6560B" w:rsidP="005D36DB">
            <w:pPr>
              <w:rPr>
                <w:sz w:val="20"/>
                <w:szCs w:val="20"/>
              </w:rPr>
            </w:pPr>
          </w:p>
        </w:tc>
        <w:tc>
          <w:tcPr>
            <w:tcW w:w="700" w:type="pct"/>
            <w:shd w:val="clear" w:color="auto" w:fill="FFFFFF" w:themeFill="background1"/>
          </w:tcPr>
          <w:p w14:paraId="50E5993B" w14:textId="77777777" w:rsidR="00E6560B" w:rsidRPr="00313547" w:rsidRDefault="00E6560B" w:rsidP="005D36DB">
            <w:pPr>
              <w:rPr>
                <w:sz w:val="20"/>
                <w:szCs w:val="20"/>
              </w:rPr>
            </w:pPr>
          </w:p>
        </w:tc>
        <w:tc>
          <w:tcPr>
            <w:tcW w:w="749" w:type="pct"/>
            <w:shd w:val="clear" w:color="auto" w:fill="FFFFFF" w:themeFill="background1"/>
          </w:tcPr>
          <w:p w14:paraId="13345663" w14:textId="77777777" w:rsidR="00E6560B" w:rsidRPr="00313547" w:rsidRDefault="00E6560B" w:rsidP="005D36DB">
            <w:pPr>
              <w:rPr>
                <w:sz w:val="20"/>
                <w:szCs w:val="20"/>
              </w:rPr>
            </w:pPr>
          </w:p>
        </w:tc>
        <w:tc>
          <w:tcPr>
            <w:tcW w:w="511" w:type="pct"/>
            <w:shd w:val="clear" w:color="auto" w:fill="FFFFFF" w:themeFill="background1"/>
          </w:tcPr>
          <w:p w14:paraId="59E2C14C" w14:textId="77777777" w:rsidR="00E6560B" w:rsidRPr="00313547" w:rsidRDefault="00E6560B" w:rsidP="005D36DB">
            <w:pPr>
              <w:rPr>
                <w:sz w:val="20"/>
                <w:szCs w:val="20"/>
              </w:rPr>
            </w:pPr>
          </w:p>
        </w:tc>
      </w:tr>
    </w:tbl>
    <w:p w14:paraId="05E2A691" w14:textId="77777777" w:rsidR="00E6560B" w:rsidRPr="00830741" w:rsidRDefault="00E6560B" w:rsidP="00E6560B"/>
    <w:p w14:paraId="631CB841" w14:textId="77777777" w:rsidR="002B7AD4" w:rsidRDefault="002B7AD4">
      <w:pPr>
        <w:jc w:val="both"/>
        <w:rPr>
          <w:rFonts w:ascii="Arial" w:hAnsi="Arial" w:cs="Arial"/>
          <w:sz w:val="22"/>
          <w:szCs w:val="22"/>
        </w:rPr>
      </w:pPr>
    </w:p>
    <w:sectPr w:rsidR="002B7AD4" w:rsidSect="005D36DB">
      <w:headerReference w:type="default" r:id="rId64"/>
      <w:footerReference w:type="default" r:id="rId6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9383" w14:textId="77777777" w:rsidR="00DD1409" w:rsidRDefault="00DD1409">
      <w:r>
        <w:separator/>
      </w:r>
    </w:p>
  </w:endnote>
  <w:endnote w:type="continuationSeparator" w:id="0">
    <w:p w14:paraId="6F39031B" w14:textId="77777777" w:rsidR="00DD1409" w:rsidRDefault="00DD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Condensed">
    <w:altName w:val="Arial"/>
    <w:charset w:val="00"/>
    <w:family w:val="swiss"/>
    <w:pitch w:val="variable"/>
    <w:sig w:usb0="00000000" w:usb1="5200F5FF" w:usb2="0A04202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BCB5" w14:textId="77777777" w:rsidR="00AA38DE" w:rsidRDefault="00AA3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40565"/>
      <w:docPartObj>
        <w:docPartGallery w:val="Page Numbers (Bottom of Page)"/>
        <w:docPartUnique/>
      </w:docPartObj>
    </w:sdtPr>
    <w:sdtEndPr>
      <w:rPr>
        <w:noProof/>
      </w:rPr>
    </w:sdtEndPr>
    <w:sdtContent>
      <w:p w14:paraId="4D417E8D" w14:textId="5A84BF0F" w:rsidR="007C6CB0" w:rsidRDefault="007C6CB0">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64A0CF39" w14:textId="77777777" w:rsidR="007C6CB0" w:rsidRDefault="007C6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0289" w14:textId="77777777" w:rsidR="00AA38DE" w:rsidRDefault="00AA38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8256"/>
      <w:docPartObj>
        <w:docPartGallery w:val="Page Numbers (Bottom of Page)"/>
        <w:docPartUnique/>
      </w:docPartObj>
    </w:sdtPr>
    <w:sdtEndPr>
      <w:rPr>
        <w:sz w:val="20"/>
        <w:szCs w:val="20"/>
      </w:rPr>
    </w:sdtEndPr>
    <w:sdtContent>
      <w:sdt>
        <w:sdtPr>
          <w:id w:val="19868257"/>
          <w:docPartObj>
            <w:docPartGallery w:val="Page Numbers (Top of Page)"/>
            <w:docPartUnique/>
          </w:docPartObj>
        </w:sdtPr>
        <w:sdtEndPr>
          <w:rPr>
            <w:sz w:val="20"/>
            <w:szCs w:val="20"/>
          </w:rPr>
        </w:sdtEndPr>
        <w:sdtContent>
          <w:p w14:paraId="5055D622" w14:textId="67E42640" w:rsidR="007C6CB0" w:rsidRPr="00833824" w:rsidRDefault="007C6CB0" w:rsidP="005D36DB">
            <w:pPr>
              <w:pStyle w:val="Footer"/>
              <w:rPr>
                <w:sz w:val="20"/>
                <w:szCs w:val="20"/>
              </w:rPr>
            </w:pPr>
            <w:r w:rsidRPr="00FE0E8B">
              <w:rPr>
                <w:sz w:val="18"/>
                <w:szCs w:val="18"/>
              </w:rPr>
              <w:t xml:space="preserve">Page </w:t>
            </w:r>
            <w:r w:rsidRPr="00FE0E8B">
              <w:rPr>
                <w:b/>
                <w:sz w:val="18"/>
                <w:szCs w:val="18"/>
              </w:rPr>
              <w:fldChar w:fldCharType="begin"/>
            </w:r>
            <w:r w:rsidRPr="00FE0E8B">
              <w:rPr>
                <w:b/>
                <w:sz w:val="18"/>
                <w:szCs w:val="18"/>
              </w:rPr>
              <w:instrText xml:space="preserve"> PAGE </w:instrText>
            </w:r>
            <w:r w:rsidRPr="00FE0E8B">
              <w:rPr>
                <w:b/>
                <w:sz w:val="18"/>
                <w:szCs w:val="18"/>
              </w:rPr>
              <w:fldChar w:fldCharType="separate"/>
            </w:r>
            <w:r>
              <w:rPr>
                <w:b/>
                <w:noProof/>
                <w:sz w:val="18"/>
                <w:szCs w:val="18"/>
              </w:rPr>
              <w:t>22</w:t>
            </w:r>
            <w:r w:rsidRPr="00FE0E8B">
              <w:rPr>
                <w:b/>
                <w:sz w:val="18"/>
                <w:szCs w:val="18"/>
              </w:rPr>
              <w:fldChar w:fldCharType="end"/>
            </w:r>
            <w:r w:rsidRPr="00FE0E8B">
              <w:rPr>
                <w:sz w:val="18"/>
                <w:szCs w:val="18"/>
              </w:rPr>
              <w:t xml:space="preserve"> of </w:t>
            </w:r>
            <w:r w:rsidRPr="00FE0E8B">
              <w:rPr>
                <w:b/>
                <w:sz w:val="18"/>
                <w:szCs w:val="18"/>
              </w:rPr>
              <w:fldChar w:fldCharType="begin"/>
            </w:r>
            <w:r w:rsidRPr="00FE0E8B">
              <w:rPr>
                <w:b/>
                <w:sz w:val="18"/>
                <w:szCs w:val="18"/>
              </w:rPr>
              <w:instrText xml:space="preserve"> NUMPAGES  </w:instrText>
            </w:r>
            <w:r w:rsidRPr="00FE0E8B">
              <w:rPr>
                <w:b/>
                <w:sz w:val="18"/>
                <w:szCs w:val="18"/>
              </w:rPr>
              <w:fldChar w:fldCharType="separate"/>
            </w:r>
            <w:r>
              <w:rPr>
                <w:b/>
                <w:noProof/>
                <w:sz w:val="18"/>
                <w:szCs w:val="18"/>
              </w:rPr>
              <w:t>23</w:t>
            </w:r>
            <w:r w:rsidRPr="00FE0E8B">
              <w:rPr>
                <w:b/>
                <w:sz w:val="18"/>
                <w:szCs w:val="18"/>
              </w:rPr>
              <w:fldChar w:fldCharType="end"/>
            </w:r>
          </w:p>
        </w:sdtContent>
      </w:sdt>
    </w:sdtContent>
  </w:sdt>
  <w:p w14:paraId="0804C001" w14:textId="77777777" w:rsidR="007C6CB0" w:rsidRDefault="007C6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68B2" w14:textId="77777777" w:rsidR="00DD1409" w:rsidRDefault="00DD1409">
      <w:r>
        <w:separator/>
      </w:r>
    </w:p>
  </w:footnote>
  <w:footnote w:type="continuationSeparator" w:id="0">
    <w:p w14:paraId="7BAC64CB" w14:textId="77777777" w:rsidR="00DD1409" w:rsidRDefault="00DD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1CB1" w14:textId="77777777" w:rsidR="00AA38DE" w:rsidRDefault="00AA3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600" w14:textId="5A9B663B" w:rsidR="007C6CB0" w:rsidRDefault="007C6CB0" w:rsidP="000D1A66">
    <w:pPr>
      <w:pStyle w:val="Header"/>
      <w:rPr>
        <w:sz w:val="20"/>
        <w:szCs w:val="20"/>
      </w:rPr>
    </w:pPr>
    <w:r>
      <w:rPr>
        <w:sz w:val="20"/>
        <w:szCs w:val="20"/>
      </w:rPr>
      <w:t>Current only on day of printing</w:t>
    </w:r>
    <w:r w:rsidRPr="007246F2">
      <w:rPr>
        <w:sz w:val="20"/>
        <w:szCs w:val="20"/>
      </w:rPr>
      <w:t xml:space="preserve"> </w:t>
    </w:r>
    <w:r w:rsidRPr="007246F2">
      <w:rPr>
        <w:sz w:val="20"/>
        <w:szCs w:val="20"/>
      </w:rPr>
      <w:fldChar w:fldCharType="begin"/>
    </w:r>
    <w:r w:rsidRPr="007246F2">
      <w:rPr>
        <w:sz w:val="20"/>
        <w:szCs w:val="20"/>
      </w:rPr>
      <w:instrText xml:space="preserve"> PRINTDATE  \@ "dd/MM/yyyy HH:mm"  \* MERGEFORMAT </w:instrText>
    </w:r>
    <w:r w:rsidRPr="007246F2">
      <w:rPr>
        <w:sz w:val="20"/>
        <w:szCs w:val="20"/>
      </w:rPr>
      <w:fldChar w:fldCharType="end"/>
    </w:r>
    <w:r>
      <w:rPr>
        <w:sz w:val="20"/>
        <w:szCs w:val="20"/>
      </w:rPr>
      <w:tab/>
    </w:r>
    <w:r>
      <w:rPr>
        <w:sz w:val="20"/>
        <w:szCs w:val="20"/>
      </w:rPr>
      <w:tab/>
    </w:r>
    <w:r w:rsidRPr="00E32FD4">
      <w:rPr>
        <w:sz w:val="20"/>
        <w:szCs w:val="20"/>
      </w:rPr>
      <w:t>version</w:t>
    </w:r>
    <w:r w:rsidR="00E32FD4">
      <w:rPr>
        <w:sz w:val="20"/>
        <w:szCs w:val="20"/>
      </w:rPr>
      <w:t xml:space="preserve"> 9, </w:t>
    </w:r>
    <w:r w:rsidR="00F67157">
      <w:rPr>
        <w:sz w:val="20"/>
        <w:szCs w:val="20"/>
      </w:rPr>
      <w:t>06</w:t>
    </w:r>
    <w:r w:rsidR="00E32FD4" w:rsidRPr="00E32FD4">
      <w:rPr>
        <w:sz w:val="20"/>
        <w:szCs w:val="20"/>
      </w:rPr>
      <w:t xml:space="preserve"> </w:t>
    </w:r>
    <w:r w:rsidR="008D226C">
      <w:rPr>
        <w:sz w:val="20"/>
        <w:szCs w:val="20"/>
      </w:rPr>
      <w:t>April</w:t>
    </w:r>
    <w:r w:rsidR="00807335">
      <w:rPr>
        <w:sz w:val="20"/>
        <w:szCs w:val="20"/>
      </w:rPr>
      <w:t xml:space="preserve"> 2022</w:t>
    </w:r>
  </w:p>
  <w:p w14:paraId="2DA1CDA6" w14:textId="77777777" w:rsidR="007C6CB0" w:rsidRPr="007246F2" w:rsidRDefault="007C6CB0" w:rsidP="000D1A66">
    <w:pPr>
      <w:pStyle w:val="Header"/>
      <w:rPr>
        <w:sz w:val="20"/>
        <w:szCs w:val="20"/>
      </w:rPr>
    </w:pPr>
    <w:smartTag w:uri="urn:schemas-microsoft-com:office:smarttags" w:element="place">
      <w:smartTag w:uri="urn:schemas-microsoft-com:office:smarttags" w:element="PlaceName">
        <w:r>
          <w:rPr>
            <w:sz w:val="20"/>
            <w:szCs w:val="20"/>
          </w:rPr>
          <w:t>Check</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website for most recent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F8B2" w14:textId="77777777" w:rsidR="00AA38DE" w:rsidRDefault="00AA38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1FC5" w14:textId="77777777" w:rsidR="007C6CB0" w:rsidRDefault="007C6CB0" w:rsidP="005D36DB">
    <w:pPr>
      <w:pStyle w:val="Standard"/>
      <w:autoSpaceDE/>
      <w:rPr>
        <w:rFonts w:ascii="DejaVu Sans Condensed" w:hAnsi="DejaVu Sans Condensed" w:cs="DejaVu Sans Condensed"/>
        <w:b/>
        <w:bCs/>
        <w:color w:val="C4000C"/>
        <w:lang w:val="en-US" w:eastAsia="en-US"/>
      </w:rPr>
    </w:pPr>
    <w:r w:rsidRPr="00AD0695">
      <w:rPr>
        <w:rFonts w:ascii="DejaVu Sans Condensed" w:hAnsi="DejaVu Sans Condensed" w:cs="DejaVu Sans Condensed"/>
        <w:b/>
        <w:bCs/>
        <w:noProof/>
        <w:color w:val="C4000C"/>
      </w:rPr>
      <w:drawing>
        <wp:anchor distT="0" distB="0" distL="114300" distR="114300" simplePos="0" relativeHeight="251659264" behindDoc="1" locked="0" layoutInCell="1" allowOverlap="1" wp14:anchorId="64340F57" wp14:editId="3C3D608F">
          <wp:simplePos x="0" y="0"/>
          <wp:positionH relativeFrom="column">
            <wp:posOffset>6924675</wp:posOffset>
          </wp:positionH>
          <wp:positionV relativeFrom="paragraph">
            <wp:posOffset>-268605</wp:posOffset>
          </wp:positionV>
          <wp:extent cx="2152650" cy="619125"/>
          <wp:effectExtent l="1905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2152650" cy="619125"/>
                  </a:xfrm>
                  <a:prstGeom prst="rect">
                    <a:avLst/>
                  </a:prstGeom>
                  <a:noFill/>
                </pic:spPr>
              </pic:pic>
            </a:graphicData>
          </a:graphic>
        </wp:anchor>
      </w:drawing>
    </w:r>
    <w:r>
      <w:rPr>
        <w:rFonts w:ascii="DejaVu Sans Condensed" w:hAnsi="DejaVu Sans Condensed" w:cs="DejaVu Sans Condensed"/>
        <w:b/>
        <w:bCs/>
        <w:color w:val="C4000C"/>
        <w:lang w:val="en-US" w:eastAsia="en-US"/>
      </w:rPr>
      <w:t>Human Tissue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D66F5DA"/>
    <w:lvl w:ilvl="0">
      <w:start w:val="1"/>
      <w:numFmt w:val="decimal"/>
      <w:pStyle w:val="ListNumber"/>
      <w:lvlText w:val="%1."/>
      <w:lvlJc w:val="left"/>
      <w:pPr>
        <w:tabs>
          <w:tab w:val="num" w:pos="360"/>
        </w:tabs>
        <w:ind w:left="360" w:hanging="360"/>
      </w:pPr>
    </w:lvl>
  </w:abstractNum>
  <w:abstractNum w:abstractNumId="1" w15:restartNumberingAfterBreak="0">
    <w:nsid w:val="01D45DA5"/>
    <w:multiLevelType w:val="hybridMultilevel"/>
    <w:tmpl w:val="D06097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32067"/>
    <w:multiLevelType w:val="hybridMultilevel"/>
    <w:tmpl w:val="ADDA0E9A"/>
    <w:lvl w:ilvl="0" w:tplc="04090019">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C10E7"/>
    <w:multiLevelType w:val="hybridMultilevel"/>
    <w:tmpl w:val="29367C0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0AB27883"/>
    <w:multiLevelType w:val="hybridMultilevel"/>
    <w:tmpl w:val="20B6710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C4216"/>
    <w:multiLevelType w:val="hybridMultilevel"/>
    <w:tmpl w:val="EA20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508DD"/>
    <w:multiLevelType w:val="hybridMultilevel"/>
    <w:tmpl w:val="9112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22273"/>
    <w:multiLevelType w:val="hybridMultilevel"/>
    <w:tmpl w:val="8FA42514"/>
    <w:lvl w:ilvl="0" w:tplc="D102D3CC">
      <w:start w:val="1"/>
      <w:numFmt w:val="bullet"/>
      <w:lvlText w:val=""/>
      <w:lvlJc w:val="left"/>
      <w:pPr>
        <w:tabs>
          <w:tab w:val="num" w:pos="720"/>
        </w:tabs>
        <w:ind w:left="720" w:hanging="360"/>
      </w:pPr>
      <w:rPr>
        <w:rFonts w:ascii="Wingdings" w:hAnsi="Wingdings" w:hint="default"/>
      </w:rPr>
    </w:lvl>
    <w:lvl w:ilvl="1" w:tplc="C602F32C" w:tentative="1">
      <w:start w:val="1"/>
      <w:numFmt w:val="bullet"/>
      <w:lvlText w:val=""/>
      <w:lvlJc w:val="left"/>
      <w:pPr>
        <w:tabs>
          <w:tab w:val="num" w:pos="1440"/>
        </w:tabs>
        <w:ind w:left="1440" w:hanging="360"/>
      </w:pPr>
      <w:rPr>
        <w:rFonts w:ascii="Wingdings" w:hAnsi="Wingdings" w:hint="default"/>
      </w:rPr>
    </w:lvl>
    <w:lvl w:ilvl="2" w:tplc="A4BEB638" w:tentative="1">
      <w:start w:val="1"/>
      <w:numFmt w:val="bullet"/>
      <w:lvlText w:val=""/>
      <w:lvlJc w:val="left"/>
      <w:pPr>
        <w:tabs>
          <w:tab w:val="num" w:pos="2160"/>
        </w:tabs>
        <w:ind w:left="2160" w:hanging="360"/>
      </w:pPr>
      <w:rPr>
        <w:rFonts w:ascii="Wingdings" w:hAnsi="Wingdings" w:hint="default"/>
      </w:rPr>
    </w:lvl>
    <w:lvl w:ilvl="3" w:tplc="125EFAD6" w:tentative="1">
      <w:start w:val="1"/>
      <w:numFmt w:val="bullet"/>
      <w:lvlText w:val=""/>
      <w:lvlJc w:val="left"/>
      <w:pPr>
        <w:tabs>
          <w:tab w:val="num" w:pos="2880"/>
        </w:tabs>
        <w:ind w:left="2880" w:hanging="360"/>
      </w:pPr>
      <w:rPr>
        <w:rFonts w:ascii="Wingdings" w:hAnsi="Wingdings" w:hint="default"/>
      </w:rPr>
    </w:lvl>
    <w:lvl w:ilvl="4" w:tplc="89BED4BE" w:tentative="1">
      <w:start w:val="1"/>
      <w:numFmt w:val="bullet"/>
      <w:lvlText w:val=""/>
      <w:lvlJc w:val="left"/>
      <w:pPr>
        <w:tabs>
          <w:tab w:val="num" w:pos="3600"/>
        </w:tabs>
        <w:ind w:left="3600" w:hanging="360"/>
      </w:pPr>
      <w:rPr>
        <w:rFonts w:ascii="Wingdings" w:hAnsi="Wingdings" w:hint="default"/>
      </w:rPr>
    </w:lvl>
    <w:lvl w:ilvl="5" w:tplc="307A3426" w:tentative="1">
      <w:start w:val="1"/>
      <w:numFmt w:val="bullet"/>
      <w:lvlText w:val=""/>
      <w:lvlJc w:val="left"/>
      <w:pPr>
        <w:tabs>
          <w:tab w:val="num" w:pos="4320"/>
        </w:tabs>
        <w:ind w:left="4320" w:hanging="360"/>
      </w:pPr>
      <w:rPr>
        <w:rFonts w:ascii="Wingdings" w:hAnsi="Wingdings" w:hint="default"/>
      </w:rPr>
    </w:lvl>
    <w:lvl w:ilvl="6" w:tplc="F7F883CA" w:tentative="1">
      <w:start w:val="1"/>
      <w:numFmt w:val="bullet"/>
      <w:lvlText w:val=""/>
      <w:lvlJc w:val="left"/>
      <w:pPr>
        <w:tabs>
          <w:tab w:val="num" w:pos="5040"/>
        </w:tabs>
        <w:ind w:left="5040" w:hanging="360"/>
      </w:pPr>
      <w:rPr>
        <w:rFonts w:ascii="Wingdings" w:hAnsi="Wingdings" w:hint="default"/>
      </w:rPr>
    </w:lvl>
    <w:lvl w:ilvl="7" w:tplc="3A7AE3E4" w:tentative="1">
      <w:start w:val="1"/>
      <w:numFmt w:val="bullet"/>
      <w:lvlText w:val=""/>
      <w:lvlJc w:val="left"/>
      <w:pPr>
        <w:tabs>
          <w:tab w:val="num" w:pos="5760"/>
        </w:tabs>
        <w:ind w:left="5760" w:hanging="360"/>
      </w:pPr>
      <w:rPr>
        <w:rFonts w:ascii="Wingdings" w:hAnsi="Wingdings" w:hint="default"/>
      </w:rPr>
    </w:lvl>
    <w:lvl w:ilvl="8" w:tplc="670239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A3FBF"/>
    <w:multiLevelType w:val="hybridMultilevel"/>
    <w:tmpl w:val="7B780AB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B7FBE"/>
    <w:multiLevelType w:val="hybridMultilevel"/>
    <w:tmpl w:val="C87E3416"/>
    <w:lvl w:ilvl="0" w:tplc="44CC90D4">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7B1B5D"/>
    <w:multiLevelType w:val="hybridMultilevel"/>
    <w:tmpl w:val="8D4E834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B4E28EA"/>
    <w:multiLevelType w:val="hybridMultilevel"/>
    <w:tmpl w:val="C51A0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57116C"/>
    <w:multiLevelType w:val="hybridMultilevel"/>
    <w:tmpl w:val="1158D55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9482F"/>
    <w:multiLevelType w:val="hybridMultilevel"/>
    <w:tmpl w:val="D54A2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721211"/>
    <w:multiLevelType w:val="hybridMultilevel"/>
    <w:tmpl w:val="4E8A92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BF053F8"/>
    <w:multiLevelType w:val="hybridMultilevel"/>
    <w:tmpl w:val="EC262EB2"/>
    <w:lvl w:ilvl="0" w:tplc="5300BD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183F47"/>
    <w:multiLevelType w:val="hybridMultilevel"/>
    <w:tmpl w:val="A2C4C408"/>
    <w:lvl w:ilvl="0" w:tplc="44CC90D4">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E1A626E"/>
    <w:multiLevelType w:val="hybridMultilevel"/>
    <w:tmpl w:val="8D4E834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2EBC2903"/>
    <w:multiLevelType w:val="hybridMultilevel"/>
    <w:tmpl w:val="1C7AB3DC"/>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30631296"/>
    <w:multiLevelType w:val="hybridMultilevel"/>
    <w:tmpl w:val="8CD435BC"/>
    <w:lvl w:ilvl="0" w:tplc="04090001">
      <w:start w:val="1"/>
      <w:numFmt w:val="bullet"/>
      <w:lvlText w:val=""/>
      <w:lvlJc w:val="left"/>
      <w:pPr>
        <w:tabs>
          <w:tab w:val="num" w:pos="720"/>
        </w:tabs>
        <w:ind w:left="720" w:hanging="360"/>
      </w:pPr>
      <w:rPr>
        <w:rFonts w:ascii="Symbol" w:hAnsi="Symbol" w:hint="default"/>
      </w:rPr>
    </w:lvl>
    <w:lvl w:ilvl="1" w:tplc="B83C80AC">
      <w:start w:val="3"/>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27E45C0"/>
    <w:multiLevelType w:val="hybridMultilevel"/>
    <w:tmpl w:val="1054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E2738"/>
    <w:multiLevelType w:val="hybridMultilevel"/>
    <w:tmpl w:val="7340F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696749"/>
    <w:multiLevelType w:val="hybridMultilevel"/>
    <w:tmpl w:val="6BD0A8C2"/>
    <w:lvl w:ilvl="0" w:tplc="04090001">
      <w:start w:val="1"/>
      <w:numFmt w:val="bullet"/>
      <w:lvlText w:val=""/>
      <w:lvlJc w:val="left"/>
      <w:pPr>
        <w:tabs>
          <w:tab w:val="num" w:pos="720"/>
        </w:tabs>
        <w:ind w:left="720" w:hanging="360"/>
      </w:pPr>
      <w:rPr>
        <w:rFonts w:ascii="Symbol" w:hAnsi="Symbol" w:hint="default"/>
      </w:rPr>
    </w:lvl>
    <w:lvl w:ilvl="1" w:tplc="B83C80AC">
      <w:start w:val="3"/>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F96C84"/>
    <w:multiLevelType w:val="hybridMultilevel"/>
    <w:tmpl w:val="8CBC94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C4FD5"/>
    <w:multiLevelType w:val="hybridMultilevel"/>
    <w:tmpl w:val="7E2A890C"/>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3EE46D1C"/>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3333226"/>
    <w:multiLevelType w:val="hybridMultilevel"/>
    <w:tmpl w:val="AFF24500"/>
    <w:lvl w:ilvl="0" w:tplc="0809001B">
      <w:start w:val="1"/>
      <w:numFmt w:val="lowerRoman"/>
      <w:lvlText w:val="%1."/>
      <w:lvlJc w:val="righ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4F203B9C"/>
    <w:multiLevelType w:val="hybridMultilevel"/>
    <w:tmpl w:val="FDB0E77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4F72003B"/>
    <w:multiLevelType w:val="hybridMultilevel"/>
    <w:tmpl w:val="1158D55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C74140"/>
    <w:multiLevelType w:val="hybridMultilevel"/>
    <w:tmpl w:val="D3C2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994AAA"/>
    <w:multiLevelType w:val="hybridMultilevel"/>
    <w:tmpl w:val="1F787EB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1" w15:restartNumberingAfterBreak="0">
    <w:nsid w:val="52CB6F0E"/>
    <w:multiLevelType w:val="hybridMultilevel"/>
    <w:tmpl w:val="86D2C34A"/>
    <w:lvl w:ilvl="0" w:tplc="04090001">
      <w:start w:val="1"/>
      <w:numFmt w:val="bullet"/>
      <w:lvlText w:val=""/>
      <w:lvlJc w:val="left"/>
      <w:pPr>
        <w:tabs>
          <w:tab w:val="num" w:pos="1069"/>
        </w:tabs>
        <w:ind w:left="1069" w:hanging="360"/>
      </w:pPr>
      <w:rPr>
        <w:rFonts w:ascii="Symbol" w:hAnsi="Symbol" w:hint="default"/>
      </w:rPr>
    </w:lvl>
    <w:lvl w:ilvl="1" w:tplc="B83C80AC">
      <w:start w:val="3"/>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5101424"/>
    <w:multiLevelType w:val="hybridMultilevel"/>
    <w:tmpl w:val="2E92F0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72157D"/>
    <w:multiLevelType w:val="hybridMultilevel"/>
    <w:tmpl w:val="8758CBC4"/>
    <w:lvl w:ilvl="0" w:tplc="B382FB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8F32356"/>
    <w:multiLevelType w:val="hybridMultilevel"/>
    <w:tmpl w:val="C0F4DBEE"/>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1260"/>
        </w:tabs>
        <w:ind w:left="1260" w:hanging="18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A43C93"/>
    <w:multiLevelType w:val="hybridMultilevel"/>
    <w:tmpl w:val="5FA6E46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6" w15:restartNumberingAfterBreak="0">
    <w:nsid w:val="5B0D4D0C"/>
    <w:multiLevelType w:val="hybridMultilevel"/>
    <w:tmpl w:val="1C7AB3DC"/>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15:restartNumberingAfterBreak="0">
    <w:nsid w:val="5B1F0E8C"/>
    <w:multiLevelType w:val="hybridMultilevel"/>
    <w:tmpl w:val="79E84A3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5D1D763B"/>
    <w:multiLevelType w:val="hybridMultilevel"/>
    <w:tmpl w:val="E17040F6"/>
    <w:lvl w:ilvl="0" w:tplc="38DCDFB0">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9" w15:restartNumberingAfterBreak="0">
    <w:nsid w:val="5DDA4486"/>
    <w:multiLevelType w:val="hybridMultilevel"/>
    <w:tmpl w:val="1E7252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87B6E"/>
    <w:multiLevelType w:val="hybridMultilevel"/>
    <w:tmpl w:val="F626A8E6"/>
    <w:lvl w:ilvl="0" w:tplc="08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DC72775"/>
    <w:multiLevelType w:val="hybridMultilevel"/>
    <w:tmpl w:val="E3E46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8A4547"/>
    <w:multiLevelType w:val="hybridMultilevel"/>
    <w:tmpl w:val="EB20B784"/>
    <w:lvl w:ilvl="0" w:tplc="04090019">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3" w15:restartNumberingAfterBreak="0">
    <w:nsid w:val="71675735"/>
    <w:multiLevelType w:val="hybridMultilevel"/>
    <w:tmpl w:val="BFCEB18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72E0C"/>
    <w:multiLevelType w:val="hybridMultilevel"/>
    <w:tmpl w:val="A25E9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497BFB"/>
    <w:multiLevelType w:val="hybridMultilevel"/>
    <w:tmpl w:val="32CE6AD2"/>
    <w:lvl w:ilvl="0" w:tplc="04090001">
      <w:start w:val="1"/>
      <w:numFmt w:val="bullet"/>
      <w:lvlText w:val=""/>
      <w:lvlJc w:val="left"/>
      <w:pPr>
        <w:tabs>
          <w:tab w:val="num" w:pos="1069"/>
        </w:tabs>
        <w:ind w:left="1069" w:hanging="360"/>
      </w:pPr>
      <w:rPr>
        <w:rFonts w:ascii="Symbol" w:hAnsi="Symbol" w:hint="default"/>
      </w:rPr>
    </w:lvl>
    <w:lvl w:ilvl="1" w:tplc="B83C80AC">
      <w:start w:val="3"/>
      <w:numFmt w:val="lowerLetter"/>
      <w:lvlText w:val="%2."/>
      <w:lvlJc w:val="left"/>
      <w:pPr>
        <w:tabs>
          <w:tab w:val="num" w:pos="1789"/>
        </w:tabs>
        <w:ind w:left="1789" w:hanging="360"/>
      </w:pPr>
      <w:rPr>
        <w:rFonts w:hint="default"/>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6" w15:restartNumberingAfterBreak="0">
    <w:nsid w:val="77AC4CC2"/>
    <w:multiLevelType w:val="hybridMultilevel"/>
    <w:tmpl w:val="2F8A25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ED416D"/>
    <w:multiLevelType w:val="hybridMultilevel"/>
    <w:tmpl w:val="8D265D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C242F7"/>
    <w:multiLevelType w:val="hybridMultilevel"/>
    <w:tmpl w:val="B71ADCF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35"/>
  </w:num>
  <w:num w:numId="3">
    <w:abstractNumId w:val="15"/>
  </w:num>
  <w:num w:numId="4">
    <w:abstractNumId w:val="47"/>
  </w:num>
  <w:num w:numId="5">
    <w:abstractNumId w:val="34"/>
  </w:num>
  <w:num w:numId="6">
    <w:abstractNumId w:val="40"/>
  </w:num>
  <w:num w:numId="7">
    <w:abstractNumId w:val="26"/>
  </w:num>
  <w:num w:numId="8">
    <w:abstractNumId w:val="7"/>
  </w:num>
  <w:num w:numId="9">
    <w:abstractNumId w:val="39"/>
  </w:num>
  <w:num w:numId="10">
    <w:abstractNumId w:val="3"/>
  </w:num>
  <w:num w:numId="11">
    <w:abstractNumId w:val="23"/>
  </w:num>
  <w:num w:numId="12">
    <w:abstractNumId w:val="4"/>
  </w:num>
  <w:num w:numId="13">
    <w:abstractNumId w:val="25"/>
  </w:num>
  <w:num w:numId="14">
    <w:abstractNumId w:val="16"/>
  </w:num>
  <w:num w:numId="15">
    <w:abstractNumId w:val="19"/>
  </w:num>
  <w:num w:numId="16">
    <w:abstractNumId w:val="45"/>
  </w:num>
  <w:num w:numId="17">
    <w:abstractNumId w:val="22"/>
  </w:num>
  <w:num w:numId="18">
    <w:abstractNumId w:val="31"/>
  </w:num>
  <w:num w:numId="19">
    <w:abstractNumId w:val="9"/>
  </w:num>
  <w:num w:numId="20">
    <w:abstractNumId w:val="48"/>
  </w:num>
  <w:num w:numId="21">
    <w:abstractNumId w:val="41"/>
  </w:num>
  <w:num w:numId="22">
    <w:abstractNumId w:val="27"/>
  </w:num>
  <w:num w:numId="23">
    <w:abstractNumId w:val="0"/>
  </w:num>
  <w:num w:numId="24">
    <w:abstractNumId w:val="46"/>
  </w:num>
  <w:num w:numId="25">
    <w:abstractNumId w:val="11"/>
  </w:num>
  <w:num w:numId="26">
    <w:abstractNumId w:val="44"/>
  </w:num>
  <w:num w:numId="27">
    <w:abstractNumId w:val="30"/>
  </w:num>
  <w:num w:numId="28">
    <w:abstractNumId w:val="20"/>
  </w:num>
  <w:num w:numId="29">
    <w:abstractNumId w:val="12"/>
  </w:num>
  <w:num w:numId="30">
    <w:abstractNumId w:val="43"/>
  </w:num>
  <w:num w:numId="31">
    <w:abstractNumId w:val="37"/>
  </w:num>
  <w:num w:numId="32">
    <w:abstractNumId w:val="38"/>
  </w:num>
  <w:num w:numId="33">
    <w:abstractNumId w:val="42"/>
  </w:num>
  <w:num w:numId="34">
    <w:abstractNumId w:val="10"/>
  </w:num>
  <w:num w:numId="35">
    <w:abstractNumId w:val="8"/>
  </w:num>
  <w:num w:numId="36">
    <w:abstractNumId w:val="2"/>
  </w:num>
  <w:num w:numId="37">
    <w:abstractNumId w:val="36"/>
  </w:num>
  <w:num w:numId="38">
    <w:abstractNumId w:val="18"/>
  </w:num>
  <w:num w:numId="39">
    <w:abstractNumId w:val="24"/>
  </w:num>
  <w:num w:numId="40">
    <w:abstractNumId w:val="1"/>
  </w:num>
  <w:num w:numId="41">
    <w:abstractNumId w:val="21"/>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5"/>
  </w:num>
  <w:num w:numId="49">
    <w:abstractNumId w:val="6"/>
  </w:num>
  <w:num w:numId="50">
    <w:abstractNumId w:val="29"/>
  </w:num>
  <w:num w:numId="51">
    <w:abstractNumId w:val="13"/>
  </w:num>
  <w:num w:numId="52">
    <w:abstractNumId w:val="32"/>
  </w:num>
  <w:num w:numId="53">
    <w:abstractNumId w:val="28"/>
  </w:num>
  <w:num w:numId="54">
    <w:abstractNumId w:val="33"/>
  </w:num>
  <w:num w:numId="55">
    <w:abstractNumId w:val="17"/>
  </w:num>
  <w:num w:numId="5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62"/>
    <w:rsid w:val="0000096C"/>
    <w:rsid w:val="00004A39"/>
    <w:rsid w:val="00006D73"/>
    <w:rsid w:val="000075B9"/>
    <w:rsid w:val="00012738"/>
    <w:rsid w:val="00013A83"/>
    <w:rsid w:val="00013F0A"/>
    <w:rsid w:val="00014476"/>
    <w:rsid w:val="00015027"/>
    <w:rsid w:val="000162F8"/>
    <w:rsid w:val="00021901"/>
    <w:rsid w:val="000219BE"/>
    <w:rsid w:val="00027200"/>
    <w:rsid w:val="0002794B"/>
    <w:rsid w:val="0003190C"/>
    <w:rsid w:val="000330AF"/>
    <w:rsid w:val="000354C2"/>
    <w:rsid w:val="00035B73"/>
    <w:rsid w:val="00035FF5"/>
    <w:rsid w:val="000431BD"/>
    <w:rsid w:val="000447C4"/>
    <w:rsid w:val="0005777B"/>
    <w:rsid w:val="00060CBB"/>
    <w:rsid w:val="0006143E"/>
    <w:rsid w:val="0006227B"/>
    <w:rsid w:val="00062358"/>
    <w:rsid w:val="00063625"/>
    <w:rsid w:val="00064171"/>
    <w:rsid w:val="00064513"/>
    <w:rsid w:val="000651CA"/>
    <w:rsid w:val="00067DC9"/>
    <w:rsid w:val="00076C0D"/>
    <w:rsid w:val="000808DC"/>
    <w:rsid w:val="00081261"/>
    <w:rsid w:val="00082603"/>
    <w:rsid w:val="000829C9"/>
    <w:rsid w:val="00084295"/>
    <w:rsid w:val="00084425"/>
    <w:rsid w:val="00084446"/>
    <w:rsid w:val="00085ABB"/>
    <w:rsid w:val="00086A97"/>
    <w:rsid w:val="00086B42"/>
    <w:rsid w:val="0009116D"/>
    <w:rsid w:val="00093C60"/>
    <w:rsid w:val="000A154A"/>
    <w:rsid w:val="000A52A7"/>
    <w:rsid w:val="000B0C10"/>
    <w:rsid w:val="000B0F57"/>
    <w:rsid w:val="000B2514"/>
    <w:rsid w:val="000B4381"/>
    <w:rsid w:val="000B63E6"/>
    <w:rsid w:val="000C0ED7"/>
    <w:rsid w:val="000C1F3A"/>
    <w:rsid w:val="000C222A"/>
    <w:rsid w:val="000C5CB0"/>
    <w:rsid w:val="000C71B7"/>
    <w:rsid w:val="000D1A66"/>
    <w:rsid w:val="000D2A72"/>
    <w:rsid w:val="000D35C5"/>
    <w:rsid w:val="000D3E9A"/>
    <w:rsid w:val="000D4035"/>
    <w:rsid w:val="000D5EB0"/>
    <w:rsid w:val="000D7380"/>
    <w:rsid w:val="000E1780"/>
    <w:rsid w:val="000E1A7D"/>
    <w:rsid w:val="000E30F7"/>
    <w:rsid w:val="000E6F6F"/>
    <w:rsid w:val="000E7DAC"/>
    <w:rsid w:val="000F1A2B"/>
    <w:rsid w:val="000F3CE1"/>
    <w:rsid w:val="000F48C3"/>
    <w:rsid w:val="001018B1"/>
    <w:rsid w:val="0010234A"/>
    <w:rsid w:val="001062AE"/>
    <w:rsid w:val="00107540"/>
    <w:rsid w:val="0011023F"/>
    <w:rsid w:val="001104D0"/>
    <w:rsid w:val="00110A8B"/>
    <w:rsid w:val="00112A24"/>
    <w:rsid w:val="00112A83"/>
    <w:rsid w:val="001133F1"/>
    <w:rsid w:val="0011455D"/>
    <w:rsid w:val="00114AAE"/>
    <w:rsid w:val="00117F7D"/>
    <w:rsid w:val="00122BB7"/>
    <w:rsid w:val="00126C3A"/>
    <w:rsid w:val="00132D84"/>
    <w:rsid w:val="001336AE"/>
    <w:rsid w:val="001341A4"/>
    <w:rsid w:val="00134DB1"/>
    <w:rsid w:val="00141839"/>
    <w:rsid w:val="00141886"/>
    <w:rsid w:val="001426FE"/>
    <w:rsid w:val="0014415C"/>
    <w:rsid w:val="00144A56"/>
    <w:rsid w:val="001468FE"/>
    <w:rsid w:val="001475B8"/>
    <w:rsid w:val="00150FB1"/>
    <w:rsid w:val="0015284A"/>
    <w:rsid w:val="0015328A"/>
    <w:rsid w:val="00160B91"/>
    <w:rsid w:val="001622A7"/>
    <w:rsid w:val="00163F93"/>
    <w:rsid w:val="001659CA"/>
    <w:rsid w:val="00166EFD"/>
    <w:rsid w:val="001701EF"/>
    <w:rsid w:val="0017054C"/>
    <w:rsid w:val="00170C04"/>
    <w:rsid w:val="00172A98"/>
    <w:rsid w:val="0017346E"/>
    <w:rsid w:val="00173A90"/>
    <w:rsid w:val="00175341"/>
    <w:rsid w:val="0018142D"/>
    <w:rsid w:val="00181EB7"/>
    <w:rsid w:val="0018409D"/>
    <w:rsid w:val="00184904"/>
    <w:rsid w:val="00191C3B"/>
    <w:rsid w:val="00197B54"/>
    <w:rsid w:val="001A0778"/>
    <w:rsid w:val="001A14BB"/>
    <w:rsid w:val="001A19E3"/>
    <w:rsid w:val="001A1D29"/>
    <w:rsid w:val="001A26F8"/>
    <w:rsid w:val="001B0465"/>
    <w:rsid w:val="001B0E03"/>
    <w:rsid w:val="001B4353"/>
    <w:rsid w:val="001B54A7"/>
    <w:rsid w:val="001C60F5"/>
    <w:rsid w:val="001C7819"/>
    <w:rsid w:val="001D0075"/>
    <w:rsid w:val="001D0251"/>
    <w:rsid w:val="001D2FC0"/>
    <w:rsid w:val="001E0DEE"/>
    <w:rsid w:val="001E19A3"/>
    <w:rsid w:val="001E29E3"/>
    <w:rsid w:val="001E43BB"/>
    <w:rsid w:val="001E513A"/>
    <w:rsid w:val="001E6D33"/>
    <w:rsid w:val="001E6DC7"/>
    <w:rsid w:val="001E78EB"/>
    <w:rsid w:val="001F0EFD"/>
    <w:rsid w:val="001F38DA"/>
    <w:rsid w:val="001F5C30"/>
    <w:rsid w:val="0020367F"/>
    <w:rsid w:val="00203D21"/>
    <w:rsid w:val="00204710"/>
    <w:rsid w:val="002106B1"/>
    <w:rsid w:val="00210990"/>
    <w:rsid w:val="00210FBD"/>
    <w:rsid w:val="00212597"/>
    <w:rsid w:val="002136C3"/>
    <w:rsid w:val="00214B47"/>
    <w:rsid w:val="00217FDB"/>
    <w:rsid w:val="002219AE"/>
    <w:rsid w:val="0022252B"/>
    <w:rsid w:val="00226494"/>
    <w:rsid w:val="00227279"/>
    <w:rsid w:val="0022735D"/>
    <w:rsid w:val="00230DEE"/>
    <w:rsid w:val="002312EA"/>
    <w:rsid w:val="0023485A"/>
    <w:rsid w:val="002360ED"/>
    <w:rsid w:val="0023681A"/>
    <w:rsid w:val="00236D15"/>
    <w:rsid w:val="002411C9"/>
    <w:rsid w:val="00242F1A"/>
    <w:rsid w:val="00243505"/>
    <w:rsid w:val="002465CA"/>
    <w:rsid w:val="002474C3"/>
    <w:rsid w:val="00250400"/>
    <w:rsid w:val="00257AC4"/>
    <w:rsid w:val="00262440"/>
    <w:rsid w:val="00264F4C"/>
    <w:rsid w:val="002672CC"/>
    <w:rsid w:val="0027144C"/>
    <w:rsid w:val="00273411"/>
    <w:rsid w:val="002777C4"/>
    <w:rsid w:val="002810E2"/>
    <w:rsid w:val="002827C1"/>
    <w:rsid w:val="002828B9"/>
    <w:rsid w:val="00283290"/>
    <w:rsid w:val="002835FF"/>
    <w:rsid w:val="00284FF3"/>
    <w:rsid w:val="00285598"/>
    <w:rsid w:val="00290E20"/>
    <w:rsid w:val="0029199C"/>
    <w:rsid w:val="00293719"/>
    <w:rsid w:val="002950D6"/>
    <w:rsid w:val="00295E76"/>
    <w:rsid w:val="0029663A"/>
    <w:rsid w:val="002A3993"/>
    <w:rsid w:val="002A5217"/>
    <w:rsid w:val="002A6E11"/>
    <w:rsid w:val="002A6F38"/>
    <w:rsid w:val="002A7037"/>
    <w:rsid w:val="002B41F0"/>
    <w:rsid w:val="002B66C8"/>
    <w:rsid w:val="002B7A88"/>
    <w:rsid w:val="002B7AD4"/>
    <w:rsid w:val="002C15A1"/>
    <w:rsid w:val="002C5226"/>
    <w:rsid w:val="002C7C1E"/>
    <w:rsid w:val="002D2271"/>
    <w:rsid w:val="002D2EB8"/>
    <w:rsid w:val="002D6A70"/>
    <w:rsid w:val="002D75EE"/>
    <w:rsid w:val="002D79A5"/>
    <w:rsid w:val="002E5F97"/>
    <w:rsid w:val="002F15EE"/>
    <w:rsid w:val="002F19EB"/>
    <w:rsid w:val="002F1EAA"/>
    <w:rsid w:val="002F20A5"/>
    <w:rsid w:val="002F2757"/>
    <w:rsid w:val="002F4156"/>
    <w:rsid w:val="002F58EB"/>
    <w:rsid w:val="00300D32"/>
    <w:rsid w:val="0030203B"/>
    <w:rsid w:val="0030227B"/>
    <w:rsid w:val="00302729"/>
    <w:rsid w:val="00304E3C"/>
    <w:rsid w:val="00306E20"/>
    <w:rsid w:val="00307EA8"/>
    <w:rsid w:val="00315E70"/>
    <w:rsid w:val="00324E44"/>
    <w:rsid w:val="00325A4C"/>
    <w:rsid w:val="00326C04"/>
    <w:rsid w:val="0032742D"/>
    <w:rsid w:val="00327E48"/>
    <w:rsid w:val="00327F2A"/>
    <w:rsid w:val="003300CC"/>
    <w:rsid w:val="003307CC"/>
    <w:rsid w:val="00336933"/>
    <w:rsid w:val="00336B79"/>
    <w:rsid w:val="003419AB"/>
    <w:rsid w:val="00341FD1"/>
    <w:rsid w:val="00344733"/>
    <w:rsid w:val="00352FED"/>
    <w:rsid w:val="003531BF"/>
    <w:rsid w:val="003558AA"/>
    <w:rsid w:val="00356313"/>
    <w:rsid w:val="003573F0"/>
    <w:rsid w:val="00357B9D"/>
    <w:rsid w:val="003614A8"/>
    <w:rsid w:val="00363BBA"/>
    <w:rsid w:val="0036453A"/>
    <w:rsid w:val="003649F9"/>
    <w:rsid w:val="003656F2"/>
    <w:rsid w:val="0037148E"/>
    <w:rsid w:val="00373116"/>
    <w:rsid w:val="00373791"/>
    <w:rsid w:val="00374B20"/>
    <w:rsid w:val="00374B9D"/>
    <w:rsid w:val="0037679C"/>
    <w:rsid w:val="00377C92"/>
    <w:rsid w:val="00383923"/>
    <w:rsid w:val="003841B1"/>
    <w:rsid w:val="00385725"/>
    <w:rsid w:val="0038606B"/>
    <w:rsid w:val="0039276B"/>
    <w:rsid w:val="00393BFE"/>
    <w:rsid w:val="003A064E"/>
    <w:rsid w:val="003A219B"/>
    <w:rsid w:val="003A30A9"/>
    <w:rsid w:val="003A3138"/>
    <w:rsid w:val="003A32B8"/>
    <w:rsid w:val="003A5300"/>
    <w:rsid w:val="003A5E12"/>
    <w:rsid w:val="003B16DA"/>
    <w:rsid w:val="003B17B7"/>
    <w:rsid w:val="003B2DFF"/>
    <w:rsid w:val="003B3489"/>
    <w:rsid w:val="003B53F8"/>
    <w:rsid w:val="003B6C70"/>
    <w:rsid w:val="003B74E2"/>
    <w:rsid w:val="003B78DC"/>
    <w:rsid w:val="003C044B"/>
    <w:rsid w:val="003C1ABD"/>
    <w:rsid w:val="003C1BCC"/>
    <w:rsid w:val="003C2FF0"/>
    <w:rsid w:val="003C67C7"/>
    <w:rsid w:val="003D144D"/>
    <w:rsid w:val="003D350D"/>
    <w:rsid w:val="003D3A86"/>
    <w:rsid w:val="003D3B63"/>
    <w:rsid w:val="003D3C66"/>
    <w:rsid w:val="003D449D"/>
    <w:rsid w:val="003D7FF0"/>
    <w:rsid w:val="003E05F6"/>
    <w:rsid w:val="003E3D0A"/>
    <w:rsid w:val="003E4104"/>
    <w:rsid w:val="003E4259"/>
    <w:rsid w:val="003E44E9"/>
    <w:rsid w:val="003E5219"/>
    <w:rsid w:val="003E57EE"/>
    <w:rsid w:val="003F0908"/>
    <w:rsid w:val="003F2382"/>
    <w:rsid w:val="003F270F"/>
    <w:rsid w:val="003F29D3"/>
    <w:rsid w:val="003F5A44"/>
    <w:rsid w:val="004022AC"/>
    <w:rsid w:val="00403523"/>
    <w:rsid w:val="004036FF"/>
    <w:rsid w:val="00405310"/>
    <w:rsid w:val="00405A66"/>
    <w:rsid w:val="00407504"/>
    <w:rsid w:val="004118D8"/>
    <w:rsid w:val="00412D44"/>
    <w:rsid w:val="00415700"/>
    <w:rsid w:val="00424093"/>
    <w:rsid w:val="004262FB"/>
    <w:rsid w:val="00427AD2"/>
    <w:rsid w:val="0043177B"/>
    <w:rsid w:val="0043202A"/>
    <w:rsid w:val="00433A7A"/>
    <w:rsid w:val="0044050F"/>
    <w:rsid w:val="00453E0E"/>
    <w:rsid w:val="004560F7"/>
    <w:rsid w:val="004629AF"/>
    <w:rsid w:val="00462FDF"/>
    <w:rsid w:val="0046413F"/>
    <w:rsid w:val="0046571B"/>
    <w:rsid w:val="00465D1B"/>
    <w:rsid w:val="00467949"/>
    <w:rsid w:val="0047041E"/>
    <w:rsid w:val="00475D09"/>
    <w:rsid w:val="00476E68"/>
    <w:rsid w:val="004806A9"/>
    <w:rsid w:val="004815CB"/>
    <w:rsid w:val="00482422"/>
    <w:rsid w:val="00482948"/>
    <w:rsid w:val="00483459"/>
    <w:rsid w:val="00483CF2"/>
    <w:rsid w:val="0048446C"/>
    <w:rsid w:val="00484D1C"/>
    <w:rsid w:val="00490E18"/>
    <w:rsid w:val="00495CFE"/>
    <w:rsid w:val="0049658A"/>
    <w:rsid w:val="0049734D"/>
    <w:rsid w:val="004A01FD"/>
    <w:rsid w:val="004A2E8E"/>
    <w:rsid w:val="004A50CA"/>
    <w:rsid w:val="004A6C80"/>
    <w:rsid w:val="004B0E74"/>
    <w:rsid w:val="004B1048"/>
    <w:rsid w:val="004B1351"/>
    <w:rsid w:val="004B1EDC"/>
    <w:rsid w:val="004B6577"/>
    <w:rsid w:val="004B7F95"/>
    <w:rsid w:val="004C07A5"/>
    <w:rsid w:val="004C19DF"/>
    <w:rsid w:val="004D01A5"/>
    <w:rsid w:val="004D04A5"/>
    <w:rsid w:val="004D0D93"/>
    <w:rsid w:val="004D126A"/>
    <w:rsid w:val="004D4D22"/>
    <w:rsid w:val="004D5B3B"/>
    <w:rsid w:val="004D79F4"/>
    <w:rsid w:val="004D7D40"/>
    <w:rsid w:val="004E22DF"/>
    <w:rsid w:val="004E29C1"/>
    <w:rsid w:val="004E2CE2"/>
    <w:rsid w:val="004E6DE7"/>
    <w:rsid w:val="004E7D5B"/>
    <w:rsid w:val="004F1E9B"/>
    <w:rsid w:val="004F39AA"/>
    <w:rsid w:val="004F3BCB"/>
    <w:rsid w:val="004F62B0"/>
    <w:rsid w:val="004F6B6F"/>
    <w:rsid w:val="004F72DD"/>
    <w:rsid w:val="004F77E3"/>
    <w:rsid w:val="004F7FE9"/>
    <w:rsid w:val="00500151"/>
    <w:rsid w:val="0050048D"/>
    <w:rsid w:val="00501112"/>
    <w:rsid w:val="00501A3E"/>
    <w:rsid w:val="00505448"/>
    <w:rsid w:val="0050607A"/>
    <w:rsid w:val="00506716"/>
    <w:rsid w:val="00507833"/>
    <w:rsid w:val="00510D38"/>
    <w:rsid w:val="0051355F"/>
    <w:rsid w:val="005137DE"/>
    <w:rsid w:val="00514FF7"/>
    <w:rsid w:val="00516112"/>
    <w:rsid w:val="00517106"/>
    <w:rsid w:val="0052119E"/>
    <w:rsid w:val="0052380E"/>
    <w:rsid w:val="00525D41"/>
    <w:rsid w:val="00526861"/>
    <w:rsid w:val="00527F40"/>
    <w:rsid w:val="0053358E"/>
    <w:rsid w:val="0053439C"/>
    <w:rsid w:val="00537532"/>
    <w:rsid w:val="005412A1"/>
    <w:rsid w:val="00544223"/>
    <w:rsid w:val="005442B2"/>
    <w:rsid w:val="00552F75"/>
    <w:rsid w:val="00553697"/>
    <w:rsid w:val="00560EFC"/>
    <w:rsid w:val="00560F6B"/>
    <w:rsid w:val="0056211B"/>
    <w:rsid w:val="00562158"/>
    <w:rsid w:val="005715CC"/>
    <w:rsid w:val="005718F8"/>
    <w:rsid w:val="005726D6"/>
    <w:rsid w:val="00575831"/>
    <w:rsid w:val="005827D7"/>
    <w:rsid w:val="005842F3"/>
    <w:rsid w:val="00586B9F"/>
    <w:rsid w:val="005879A0"/>
    <w:rsid w:val="00587EDF"/>
    <w:rsid w:val="00592526"/>
    <w:rsid w:val="005943D1"/>
    <w:rsid w:val="0059578D"/>
    <w:rsid w:val="00596F9B"/>
    <w:rsid w:val="00597115"/>
    <w:rsid w:val="005A3922"/>
    <w:rsid w:val="005A5036"/>
    <w:rsid w:val="005B15D6"/>
    <w:rsid w:val="005B277F"/>
    <w:rsid w:val="005B2D92"/>
    <w:rsid w:val="005B43C6"/>
    <w:rsid w:val="005B44A6"/>
    <w:rsid w:val="005C2C0C"/>
    <w:rsid w:val="005C3762"/>
    <w:rsid w:val="005D0531"/>
    <w:rsid w:val="005D091E"/>
    <w:rsid w:val="005D2D54"/>
    <w:rsid w:val="005D36DB"/>
    <w:rsid w:val="005D434A"/>
    <w:rsid w:val="005D783D"/>
    <w:rsid w:val="005E05C9"/>
    <w:rsid w:val="005E19C5"/>
    <w:rsid w:val="005E2476"/>
    <w:rsid w:val="005E2787"/>
    <w:rsid w:val="005F247D"/>
    <w:rsid w:val="005F41ED"/>
    <w:rsid w:val="005F542F"/>
    <w:rsid w:val="005F734D"/>
    <w:rsid w:val="006002B8"/>
    <w:rsid w:val="00601AF6"/>
    <w:rsid w:val="00601B2F"/>
    <w:rsid w:val="00602AF8"/>
    <w:rsid w:val="0060372D"/>
    <w:rsid w:val="006042A0"/>
    <w:rsid w:val="0060431C"/>
    <w:rsid w:val="00604D6F"/>
    <w:rsid w:val="00606E9B"/>
    <w:rsid w:val="00607CD9"/>
    <w:rsid w:val="00607D36"/>
    <w:rsid w:val="00614E93"/>
    <w:rsid w:val="0061720B"/>
    <w:rsid w:val="00620257"/>
    <w:rsid w:val="006242F1"/>
    <w:rsid w:val="006251F8"/>
    <w:rsid w:val="00625913"/>
    <w:rsid w:val="00626EED"/>
    <w:rsid w:val="00627C49"/>
    <w:rsid w:val="00636919"/>
    <w:rsid w:val="006412BD"/>
    <w:rsid w:val="00641889"/>
    <w:rsid w:val="00641917"/>
    <w:rsid w:val="0065027B"/>
    <w:rsid w:val="00652C9F"/>
    <w:rsid w:val="00653C88"/>
    <w:rsid w:val="00655B49"/>
    <w:rsid w:val="00656AEF"/>
    <w:rsid w:val="006602D8"/>
    <w:rsid w:val="0066128A"/>
    <w:rsid w:val="0066251A"/>
    <w:rsid w:val="00662D1F"/>
    <w:rsid w:val="006723CC"/>
    <w:rsid w:val="006743EF"/>
    <w:rsid w:val="006751E0"/>
    <w:rsid w:val="006755BD"/>
    <w:rsid w:val="00675C6C"/>
    <w:rsid w:val="00680EA8"/>
    <w:rsid w:val="0068160F"/>
    <w:rsid w:val="006840A1"/>
    <w:rsid w:val="006848CE"/>
    <w:rsid w:val="00686762"/>
    <w:rsid w:val="00692686"/>
    <w:rsid w:val="006941F5"/>
    <w:rsid w:val="0069529D"/>
    <w:rsid w:val="006960B2"/>
    <w:rsid w:val="00696337"/>
    <w:rsid w:val="00697C31"/>
    <w:rsid w:val="006A29B7"/>
    <w:rsid w:val="006A3A3E"/>
    <w:rsid w:val="006A4949"/>
    <w:rsid w:val="006A62D7"/>
    <w:rsid w:val="006B0C4C"/>
    <w:rsid w:val="006B2FC9"/>
    <w:rsid w:val="006B318D"/>
    <w:rsid w:val="006B4EDC"/>
    <w:rsid w:val="006B6615"/>
    <w:rsid w:val="006B679F"/>
    <w:rsid w:val="006B6DF0"/>
    <w:rsid w:val="006C0D6F"/>
    <w:rsid w:val="006C28F0"/>
    <w:rsid w:val="006C567D"/>
    <w:rsid w:val="006C6598"/>
    <w:rsid w:val="006D2BC1"/>
    <w:rsid w:val="006D4466"/>
    <w:rsid w:val="006E1B2D"/>
    <w:rsid w:val="006E20EB"/>
    <w:rsid w:val="006E3770"/>
    <w:rsid w:val="006E45BA"/>
    <w:rsid w:val="006E4A43"/>
    <w:rsid w:val="006F19D1"/>
    <w:rsid w:val="006F24B2"/>
    <w:rsid w:val="006F3325"/>
    <w:rsid w:val="006F4203"/>
    <w:rsid w:val="006F4A98"/>
    <w:rsid w:val="006F7414"/>
    <w:rsid w:val="006F7AE4"/>
    <w:rsid w:val="00702446"/>
    <w:rsid w:val="007026C1"/>
    <w:rsid w:val="00703545"/>
    <w:rsid w:val="007042BE"/>
    <w:rsid w:val="00706054"/>
    <w:rsid w:val="0070662B"/>
    <w:rsid w:val="00707793"/>
    <w:rsid w:val="00710181"/>
    <w:rsid w:val="00710EB0"/>
    <w:rsid w:val="007113C2"/>
    <w:rsid w:val="00711A37"/>
    <w:rsid w:val="00711E6E"/>
    <w:rsid w:val="00712D22"/>
    <w:rsid w:val="00713987"/>
    <w:rsid w:val="00715A3F"/>
    <w:rsid w:val="00717F35"/>
    <w:rsid w:val="0072009E"/>
    <w:rsid w:val="0072032B"/>
    <w:rsid w:val="0072122E"/>
    <w:rsid w:val="007245FC"/>
    <w:rsid w:val="007246F2"/>
    <w:rsid w:val="00725795"/>
    <w:rsid w:val="00731386"/>
    <w:rsid w:val="007318A1"/>
    <w:rsid w:val="00731C0F"/>
    <w:rsid w:val="00732DA8"/>
    <w:rsid w:val="00733325"/>
    <w:rsid w:val="007333E2"/>
    <w:rsid w:val="0073667F"/>
    <w:rsid w:val="00736ADE"/>
    <w:rsid w:val="00737DD9"/>
    <w:rsid w:val="00740BD7"/>
    <w:rsid w:val="00740EA5"/>
    <w:rsid w:val="00743F62"/>
    <w:rsid w:val="007450B1"/>
    <w:rsid w:val="00745A31"/>
    <w:rsid w:val="0075667B"/>
    <w:rsid w:val="00756BE5"/>
    <w:rsid w:val="00757D3A"/>
    <w:rsid w:val="00760125"/>
    <w:rsid w:val="007612E4"/>
    <w:rsid w:val="00762773"/>
    <w:rsid w:val="00764454"/>
    <w:rsid w:val="0076757D"/>
    <w:rsid w:val="00770778"/>
    <w:rsid w:val="007708AE"/>
    <w:rsid w:val="00770AE2"/>
    <w:rsid w:val="00774841"/>
    <w:rsid w:val="007753BC"/>
    <w:rsid w:val="00777ED2"/>
    <w:rsid w:val="00781414"/>
    <w:rsid w:val="007861FF"/>
    <w:rsid w:val="007908FF"/>
    <w:rsid w:val="00794869"/>
    <w:rsid w:val="007962C8"/>
    <w:rsid w:val="00797063"/>
    <w:rsid w:val="007A35AD"/>
    <w:rsid w:val="007A5632"/>
    <w:rsid w:val="007B2A64"/>
    <w:rsid w:val="007B324D"/>
    <w:rsid w:val="007B3E1C"/>
    <w:rsid w:val="007B63A2"/>
    <w:rsid w:val="007B746E"/>
    <w:rsid w:val="007B74D6"/>
    <w:rsid w:val="007C053D"/>
    <w:rsid w:val="007C1097"/>
    <w:rsid w:val="007C206F"/>
    <w:rsid w:val="007C44B3"/>
    <w:rsid w:val="007C6369"/>
    <w:rsid w:val="007C6CB0"/>
    <w:rsid w:val="007D0C13"/>
    <w:rsid w:val="007D4EAE"/>
    <w:rsid w:val="007D7222"/>
    <w:rsid w:val="007D7724"/>
    <w:rsid w:val="007E4CD2"/>
    <w:rsid w:val="00800619"/>
    <w:rsid w:val="00801012"/>
    <w:rsid w:val="00804CE6"/>
    <w:rsid w:val="00806100"/>
    <w:rsid w:val="00807335"/>
    <w:rsid w:val="0080791B"/>
    <w:rsid w:val="008107DB"/>
    <w:rsid w:val="00811955"/>
    <w:rsid w:val="008141D1"/>
    <w:rsid w:val="008152CF"/>
    <w:rsid w:val="008157DD"/>
    <w:rsid w:val="00815EFB"/>
    <w:rsid w:val="00816FB6"/>
    <w:rsid w:val="008231DB"/>
    <w:rsid w:val="00823869"/>
    <w:rsid w:val="00824D5A"/>
    <w:rsid w:val="00831868"/>
    <w:rsid w:val="00832A8C"/>
    <w:rsid w:val="00833C89"/>
    <w:rsid w:val="0083418B"/>
    <w:rsid w:val="00836FA3"/>
    <w:rsid w:val="00837041"/>
    <w:rsid w:val="00837172"/>
    <w:rsid w:val="008377E8"/>
    <w:rsid w:val="00840EC6"/>
    <w:rsid w:val="008437BA"/>
    <w:rsid w:val="008439EB"/>
    <w:rsid w:val="00846A39"/>
    <w:rsid w:val="00850C19"/>
    <w:rsid w:val="00854E82"/>
    <w:rsid w:val="00855C36"/>
    <w:rsid w:val="00856A55"/>
    <w:rsid w:val="008575B9"/>
    <w:rsid w:val="00860F47"/>
    <w:rsid w:val="0086569F"/>
    <w:rsid w:val="008664A1"/>
    <w:rsid w:val="00872149"/>
    <w:rsid w:val="0087309A"/>
    <w:rsid w:val="00873975"/>
    <w:rsid w:val="00876233"/>
    <w:rsid w:val="008767C5"/>
    <w:rsid w:val="00881239"/>
    <w:rsid w:val="00882320"/>
    <w:rsid w:val="00882616"/>
    <w:rsid w:val="0088403A"/>
    <w:rsid w:val="0088545F"/>
    <w:rsid w:val="0089095C"/>
    <w:rsid w:val="00892476"/>
    <w:rsid w:val="00892FDC"/>
    <w:rsid w:val="00894743"/>
    <w:rsid w:val="00896A29"/>
    <w:rsid w:val="0089703D"/>
    <w:rsid w:val="00897AAC"/>
    <w:rsid w:val="008A117D"/>
    <w:rsid w:val="008A3272"/>
    <w:rsid w:val="008A40AF"/>
    <w:rsid w:val="008A4686"/>
    <w:rsid w:val="008A57BF"/>
    <w:rsid w:val="008B5FE1"/>
    <w:rsid w:val="008C0A7F"/>
    <w:rsid w:val="008C1E51"/>
    <w:rsid w:val="008C3EF5"/>
    <w:rsid w:val="008C5419"/>
    <w:rsid w:val="008C7BB6"/>
    <w:rsid w:val="008D060D"/>
    <w:rsid w:val="008D0F9C"/>
    <w:rsid w:val="008D19BC"/>
    <w:rsid w:val="008D226C"/>
    <w:rsid w:val="008D3984"/>
    <w:rsid w:val="008D3AA5"/>
    <w:rsid w:val="008D3FE1"/>
    <w:rsid w:val="008D48E1"/>
    <w:rsid w:val="008D7690"/>
    <w:rsid w:val="008E1D83"/>
    <w:rsid w:val="008E20CF"/>
    <w:rsid w:val="008E2DF2"/>
    <w:rsid w:val="008E3E25"/>
    <w:rsid w:val="008E4A8C"/>
    <w:rsid w:val="008E5450"/>
    <w:rsid w:val="008E61A4"/>
    <w:rsid w:val="008E7109"/>
    <w:rsid w:val="008F2BC7"/>
    <w:rsid w:val="008F312E"/>
    <w:rsid w:val="008F340C"/>
    <w:rsid w:val="008F5F6F"/>
    <w:rsid w:val="008F6242"/>
    <w:rsid w:val="00905527"/>
    <w:rsid w:val="0091096E"/>
    <w:rsid w:val="00912321"/>
    <w:rsid w:val="009127BB"/>
    <w:rsid w:val="00913806"/>
    <w:rsid w:val="00914036"/>
    <w:rsid w:val="009143FC"/>
    <w:rsid w:val="00915591"/>
    <w:rsid w:val="00916895"/>
    <w:rsid w:val="00923387"/>
    <w:rsid w:val="0092399D"/>
    <w:rsid w:val="0092435B"/>
    <w:rsid w:val="00927113"/>
    <w:rsid w:val="00930683"/>
    <w:rsid w:val="00931A11"/>
    <w:rsid w:val="00933505"/>
    <w:rsid w:val="009338DA"/>
    <w:rsid w:val="0093399D"/>
    <w:rsid w:val="00934DC1"/>
    <w:rsid w:val="00936D92"/>
    <w:rsid w:val="0094048E"/>
    <w:rsid w:val="00941874"/>
    <w:rsid w:val="00943787"/>
    <w:rsid w:val="00944731"/>
    <w:rsid w:val="009452E7"/>
    <w:rsid w:val="00952930"/>
    <w:rsid w:val="00953506"/>
    <w:rsid w:val="00955CC4"/>
    <w:rsid w:val="0095638E"/>
    <w:rsid w:val="00962E9F"/>
    <w:rsid w:val="009635A2"/>
    <w:rsid w:val="009642B4"/>
    <w:rsid w:val="00965C3B"/>
    <w:rsid w:val="009665F3"/>
    <w:rsid w:val="00970F39"/>
    <w:rsid w:val="00971771"/>
    <w:rsid w:val="00973794"/>
    <w:rsid w:val="009756AA"/>
    <w:rsid w:val="00975A2E"/>
    <w:rsid w:val="00975D16"/>
    <w:rsid w:val="0097765D"/>
    <w:rsid w:val="009776FC"/>
    <w:rsid w:val="00977C0D"/>
    <w:rsid w:val="0098262B"/>
    <w:rsid w:val="0099060C"/>
    <w:rsid w:val="0099066F"/>
    <w:rsid w:val="009927E6"/>
    <w:rsid w:val="00993CD4"/>
    <w:rsid w:val="0099477E"/>
    <w:rsid w:val="0099514D"/>
    <w:rsid w:val="0099614F"/>
    <w:rsid w:val="0099652B"/>
    <w:rsid w:val="00997519"/>
    <w:rsid w:val="009A0EF1"/>
    <w:rsid w:val="009A105B"/>
    <w:rsid w:val="009A1E37"/>
    <w:rsid w:val="009A26F9"/>
    <w:rsid w:val="009A4653"/>
    <w:rsid w:val="009A47A9"/>
    <w:rsid w:val="009B0F27"/>
    <w:rsid w:val="009B193E"/>
    <w:rsid w:val="009B2652"/>
    <w:rsid w:val="009B76C8"/>
    <w:rsid w:val="009B7C59"/>
    <w:rsid w:val="009C182A"/>
    <w:rsid w:val="009C2C0D"/>
    <w:rsid w:val="009C355F"/>
    <w:rsid w:val="009C41E3"/>
    <w:rsid w:val="009C630F"/>
    <w:rsid w:val="009D7B0B"/>
    <w:rsid w:val="009E048B"/>
    <w:rsid w:val="009E30FC"/>
    <w:rsid w:val="009E47E1"/>
    <w:rsid w:val="009E74BA"/>
    <w:rsid w:val="009E7F00"/>
    <w:rsid w:val="009F66B2"/>
    <w:rsid w:val="00A00B01"/>
    <w:rsid w:val="00A01420"/>
    <w:rsid w:val="00A014F5"/>
    <w:rsid w:val="00A01E60"/>
    <w:rsid w:val="00A03709"/>
    <w:rsid w:val="00A058C2"/>
    <w:rsid w:val="00A10EE7"/>
    <w:rsid w:val="00A11617"/>
    <w:rsid w:val="00A171CC"/>
    <w:rsid w:val="00A21BAF"/>
    <w:rsid w:val="00A2322B"/>
    <w:rsid w:val="00A23FD0"/>
    <w:rsid w:val="00A25D77"/>
    <w:rsid w:val="00A3090C"/>
    <w:rsid w:val="00A329F8"/>
    <w:rsid w:val="00A34689"/>
    <w:rsid w:val="00A36C2A"/>
    <w:rsid w:val="00A44CFF"/>
    <w:rsid w:val="00A45637"/>
    <w:rsid w:val="00A45862"/>
    <w:rsid w:val="00A465C3"/>
    <w:rsid w:val="00A477A2"/>
    <w:rsid w:val="00A47C2E"/>
    <w:rsid w:val="00A50208"/>
    <w:rsid w:val="00A50D3A"/>
    <w:rsid w:val="00A52790"/>
    <w:rsid w:val="00A53033"/>
    <w:rsid w:val="00A5581D"/>
    <w:rsid w:val="00A57E25"/>
    <w:rsid w:val="00A6045B"/>
    <w:rsid w:val="00A66DF1"/>
    <w:rsid w:val="00A71A43"/>
    <w:rsid w:val="00A73563"/>
    <w:rsid w:val="00A740BE"/>
    <w:rsid w:val="00A76B29"/>
    <w:rsid w:val="00A803A1"/>
    <w:rsid w:val="00A80DFF"/>
    <w:rsid w:val="00A83571"/>
    <w:rsid w:val="00A83978"/>
    <w:rsid w:val="00A84276"/>
    <w:rsid w:val="00A86EE8"/>
    <w:rsid w:val="00A8798F"/>
    <w:rsid w:val="00A92B13"/>
    <w:rsid w:val="00A939CA"/>
    <w:rsid w:val="00A942AE"/>
    <w:rsid w:val="00A975EA"/>
    <w:rsid w:val="00A979D2"/>
    <w:rsid w:val="00AA276F"/>
    <w:rsid w:val="00AA38DE"/>
    <w:rsid w:val="00AA56C7"/>
    <w:rsid w:val="00AA7140"/>
    <w:rsid w:val="00AA724F"/>
    <w:rsid w:val="00AB17F0"/>
    <w:rsid w:val="00AB241A"/>
    <w:rsid w:val="00AB3691"/>
    <w:rsid w:val="00AB3F37"/>
    <w:rsid w:val="00AB4722"/>
    <w:rsid w:val="00AB487D"/>
    <w:rsid w:val="00AB6964"/>
    <w:rsid w:val="00AC1057"/>
    <w:rsid w:val="00AC281C"/>
    <w:rsid w:val="00AC5CD8"/>
    <w:rsid w:val="00AC68CA"/>
    <w:rsid w:val="00AD089D"/>
    <w:rsid w:val="00AD0933"/>
    <w:rsid w:val="00AD098B"/>
    <w:rsid w:val="00AD0C09"/>
    <w:rsid w:val="00AD4E1C"/>
    <w:rsid w:val="00AD5761"/>
    <w:rsid w:val="00AD5C29"/>
    <w:rsid w:val="00AD6306"/>
    <w:rsid w:val="00AD6322"/>
    <w:rsid w:val="00AD6755"/>
    <w:rsid w:val="00AE0EBA"/>
    <w:rsid w:val="00AE1719"/>
    <w:rsid w:val="00AE730D"/>
    <w:rsid w:val="00AF0B16"/>
    <w:rsid w:val="00AF37B4"/>
    <w:rsid w:val="00AF40A6"/>
    <w:rsid w:val="00AF5230"/>
    <w:rsid w:val="00AF7692"/>
    <w:rsid w:val="00AF76AD"/>
    <w:rsid w:val="00AF7983"/>
    <w:rsid w:val="00B02516"/>
    <w:rsid w:val="00B04852"/>
    <w:rsid w:val="00B05306"/>
    <w:rsid w:val="00B05459"/>
    <w:rsid w:val="00B06430"/>
    <w:rsid w:val="00B22EFA"/>
    <w:rsid w:val="00B2450E"/>
    <w:rsid w:val="00B27E95"/>
    <w:rsid w:val="00B30674"/>
    <w:rsid w:val="00B308FD"/>
    <w:rsid w:val="00B315F0"/>
    <w:rsid w:val="00B33A2C"/>
    <w:rsid w:val="00B33F0F"/>
    <w:rsid w:val="00B34569"/>
    <w:rsid w:val="00B36B19"/>
    <w:rsid w:val="00B40791"/>
    <w:rsid w:val="00B50521"/>
    <w:rsid w:val="00B51DED"/>
    <w:rsid w:val="00B52921"/>
    <w:rsid w:val="00B52CFD"/>
    <w:rsid w:val="00B55685"/>
    <w:rsid w:val="00B55A65"/>
    <w:rsid w:val="00B573B0"/>
    <w:rsid w:val="00B630DE"/>
    <w:rsid w:val="00B642B2"/>
    <w:rsid w:val="00B66203"/>
    <w:rsid w:val="00B665F9"/>
    <w:rsid w:val="00B727DE"/>
    <w:rsid w:val="00B74C80"/>
    <w:rsid w:val="00B77389"/>
    <w:rsid w:val="00B77EEA"/>
    <w:rsid w:val="00B8037D"/>
    <w:rsid w:val="00B82057"/>
    <w:rsid w:val="00B8249B"/>
    <w:rsid w:val="00B84A67"/>
    <w:rsid w:val="00B85D31"/>
    <w:rsid w:val="00B86B1E"/>
    <w:rsid w:val="00B91F8A"/>
    <w:rsid w:val="00B9326A"/>
    <w:rsid w:val="00B93AAA"/>
    <w:rsid w:val="00B94A56"/>
    <w:rsid w:val="00B9634D"/>
    <w:rsid w:val="00BA11D2"/>
    <w:rsid w:val="00BA5D26"/>
    <w:rsid w:val="00BB0870"/>
    <w:rsid w:val="00BB238F"/>
    <w:rsid w:val="00BB28DA"/>
    <w:rsid w:val="00BB5149"/>
    <w:rsid w:val="00BB6ED8"/>
    <w:rsid w:val="00BC1C18"/>
    <w:rsid w:val="00BC297A"/>
    <w:rsid w:val="00BC29E8"/>
    <w:rsid w:val="00BC4551"/>
    <w:rsid w:val="00BC7529"/>
    <w:rsid w:val="00BD5399"/>
    <w:rsid w:val="00BD70C2"/>
    <w:rsid w:val="00BE14D2"/>
    <w:rsid w:val="00BE17DA"/>
    <w:rsid w:val="00BE2D1E"/>
    <w:rsid w:val="00BE35EB"/>
    <w:rsid w:val="00BE4F45"/>
    <w:rsid w:val="00BE658D"/>
    <w:rsid w:val="00BF1820"/>
    <w:rsid w:val="00C00B89"/>
    <w:rsid w:val="00C0532F"/>
    <w:rsid w:val="00C06383"/>
    <w:rsid w:val="00C067F6"/>
    <w:rsid w:val="00C069B7"/>
    <w:rsid w:val="00C10630"/>
    <w:rsid w:val="00C10F61"/>
    <w:rsid w:val="00C112CA"/>
    <w:rsid w:val="00C13F6F"/>
    <w:rsid w:val="00C202DF"/>
    <w:rsid w:val="00C20E2D"/>
    <w:rsid w:val="00C22722"/>
    <w:rsid w:val="00C22E6E"/>
    <w:rsid w:val="00C230D0"/>
    <w:rsid w:val="00C23AA8"/>
    <w:rsid w:val="00C26367"/>
    <w:rsid w:val="00C27E96"/>
    <w:rsid w:val="00C32310"/>
    <w:rsid w:val="00C32E85"/>
    <w:rsid w:val="00C363BD"/>
    <w:rsid w:val="00C46BF4"/>
    <w:rsid w:val="00C478FB"/>
    <w:rsid w:val="00C52E64"/>
    <w:rsid w:val="00C55A22"/>
    <w:rsid w:val="00C66073"/>
    <w:rsid w:val="00C67D87"/>
    <w:rsid w:val="00C7054C"/>
    <w:rsid w:val="00C70BAE"/>
    <w:rsid w:val="00C71144"/>
    <w:rsid w:val="00C7200A"/>
    <w:rsid w:val="00C756F7"/>
    <w:rsid w:val="00C80B0D"/>
    <w:rsid w:val="00C816AB"/>
    <w:rsid w:val="00C81749"/>
    <w:rsid w:val="00C81C6D"/>
    <w:rsid w:val="00C84436"/>
    <w:rsid w:val="00C91471"/>
    <w:rsid w:val="00C918CB"/>
    <w:rsid w:val="00C92750"/>
    <w:rsid w:val="00C92CE3"/>
    <w:rsid w:val="00C94D3B"/>
    <w:rsid w:val="00C94EB2"/>
    <w:rsid w:val="00C9603A"/>
    <w:rsid w:val="00CA04C9"/>
    <w:rsid w:val="00CA1019"/>
    <w:rsid w:val="00CA18A4"/>
    <w:rsid w:val="00CA2514"/>
    <w:rsid w:val="00CA36BD"/>
    <w:rsid w:val="00CA3C39"/>
    <w:rsid w:val="00CA4FF7"/>
    <w:rsid w:val="00CA5706"/>
    <w:rsid w:val="00CA66A8"/>
    <w:rsid w:val="00CB0184"/>
    <w:rsid w:val="00CB05D3"/>
    <w:rsid w:val="00CB4577"/>
    <w:rsid w:val="00CB5022"/>
    <w:rsid w:val="00CB5A7D"/>
    <w:rsid w:val="00CC0209"/>
    <w:rsid w:val="00CC1548"/>
    <w:rsid w:val="00CC2062"/>
    <w:rsid w:val="00CC4327"/>
    <w:rsid w:val="00CC5343"/>
    <w:rsid w:val="00CC5E73"/>
    <w:rsid w:val="00CC6087"/>
    <w:rsid w:val="00CC64BF"/>
    <w:rsid w:val="00CD0868"/>
    <w:rsid w:val="00CD209F"/>
    <w:rsid w:val="00CD2C9A"/>
    <w:rsid w:val="00CD3719"/>
    <w:rsid w:val="00CD5343"/>
    <w:rsid w:val="00CD617E"/>
    <w:rsid w:val="00CD6483"/>
    <w:rsid w:val="00CD73C2"/>
    <w:rsid w:val="00CE1240"/>
    <w:rsid w:val="00CE16F7"/>
    <w:rsid w:val="00CE461E"/>
    <w:rsid w:val="00CE5490"/>
    <w:rsid w:val="00CE600D"/>
    <w:rsid w:val="00CF03A6"/>
    <w:rsid w:val="00CF050E"/>
    <w:rsid w:val="00CF2D0D"/>
    <w:rsid w:val="00CF4E99"/>
    <w:rsid w:val="00CF5E99"/>
    <w:rsid w:val="00D00264"/>
    <w:rsid w:val="00D01C37"/>
    <w:rsid w:val="00D025CB"/>
    <w:rsid w:val="00D026E9"/>
    <w:rsid w:val="00D02E1F"/>
    <w:rsid w:val="00D064DF"/>
    <w:rsid w:val="00D07D02"/>
    <w:rsid w:val="00D112C3"/>
    <w:rsid w:val="00D14DFC"/>
    <w:rsid w:val="00D14E26"/>
    <w:rsid w:val="00D15FB9"/>
    <w:rsid w:val="00D20881"/>
    <w:rsid w:val="00D23FDC"/>
    <w:rsid w:val="00D261E4"/>
    <w:rsid w:val="00D27B42"/>
    <w:rsid w:val="00D30865"/>
    <w:rsid w:val="00D313D4"/>
    <w:rsid w:val="00D33172"/>
    <w:rsid w:val="00D34BB7"/>
    <w:rsid w:val="00D3658C"/>
    <w:rsid w:val="00D411C2"/>
    <w:rsid w:val="00D42745"/>
    <w:rsid w:val="00D4423C"/>
    <w:rsid w:val="00D45C74"/>
    <w:rsid w:val="00D46C0F"/>
    <w:rsid w:val="00D50DE6"/>
    <w:rsid w:val="00D5107A"/>
    <w:rsid w:val="00D51171"/>
    <w:rsid w:val="00D52CFA"/>
    <w:rsid w:val="00D5486F"/>
    <w:rsid w:val="00D5636B"/>
    <w:rsid w:val="00D56676"/>
    <w:rsid w:val="00D61006"/>
    <w:rsid w:val="00D61C17"/>
    <w:rsid w:val="00D61FC4"/>
    <w:rsid w:val="00D64073"/>
    <w:rsid w:val="00D65730"/>
    <w:rsid w:val="00D6648F"/>
    <w:rsid w:val="00D70F7C"/>
    <w:rsid w:val="00D819F8"/>
    <w:rsid w:val="00D822F0"/>
    <w:rsid w:val="00D82490"/>
    <w:rsid w:val="00D83153"/>
    <w:rsid w:val="00D84A00"/>
    <w:rsid w:val="00D8597C"/>
    <w:rsid w:val="00D86F15"/>
    <w:rsid w:val="00D9785F"/>
    <w:rsid w:val="00D97F5E"/>
    <w:rsid w:val="00DA1882"/>
    <w:rsid w:val="00DA2D9C"/>
    <w:rsid w:val="00DA3749"/>
    <w:rsid w:val="00DA65DB"/>
    <w:rsid w:val="00DA7675"/>
    <w:rsid w:val="00DB19EA"/>
    <w:rsid w:val="00DB2886"/>
    <w:rsid w:val="00DB33E9"/>
    <w:rsid w:val="00DB4002"/>
    <w:rsid w:val="00DB425F"/>
    <w:rsid w:val="00DB5027"/>
    <w:rsid w:val="00DB518C"/>
    <w:rsid w:val="00DB549F"/>
    <w:rsid w:val="00DC0045"/>
    <w:rsid w:val="00DC141D"/>
    <w:rsid w:val="00DC4DB6"/>
    <w:rsid w:val="00DC5DAB"/>
    <w:rsid w:val="00DC70DC"/>
    <w:rsid w:val="00DD0455"/>
    <w:rsid w:val="00DD0FAB"/>
    <w:rsid w:val="00DD1409"/>
    <w:rsid w:val="00DD1617"/>
    <w:rsid w:val="00DD1F85"/>
    <w:rsid w:val="00DD399A"/>
    <w:rsid w:val="00DD521F"/>
    <w:rsid w:val="00DD7D8C"/>
    <w:rsid w:val="00DE04B7"/>
    <w:rsid w:val="00DE0CDE"/>
    <w:rsid w:val="00DE3613"/>
    <w:rsid w:val="00DE575F"/>
    <w:rsid w:val="00DE65AB"/>
    <w:rsid w:val="00DF1110"/>
    <w:rsid w:val="00DF4F46"/>
    <w:rsid w:val="00DF5399"/>
    <w:rsid w:val="00DF5B61"/>
    <w:rsid w:val="00DF6201"/>
    <w:rsid w:val="00E00B8E"/>
    <w:rsid w:val="00E03852"/>
    <w:rsid w:val="00E11E86"/>
    <w:rsid w:val="00E130F6"/>
    <w:rsid w:val="00E145FA"/>
    <w:rsid w:val="00E14730"/>
    <w:rsid w:val="00E151DD"/>
    <w:rsid w:val="00E15B44"/>
    <w:rsid w:val="00E20C8F"/>
    <w:rsid w:val="00E210A0"/>
    <w:rsid w:val="00E25E0C"/>
    <w:rsid w:val="00E25FA7"/>
    <w:rsid w:val="00E301E8"/>
    <w:rsid w:val="00E305FD"/>
    <w:rsid w:val="00E3174B"/>
    <w:rsid w:val="00E32B6F"/>
    <w:rsid w:val="00E32FD4"/>
    <w:rsid w:val="00E4157A"/>
    <w:rsid w:val="00E4255E"/>
    <w:rsid w:val="00E46376"/>
    <w:rsid w:val="00E525B7"/>
    <w:rsid w:val="00E533B8"/>
    <w:rsid w:val="00E54C0D"/>
    <w:rsid w:val="00E602CA"/>
    <w:rsid w:val="00E61162"/>
    <w:rsid w:val="00E62E78"/>
    <w:rsid w:val="00E636C9"/>
    <w:rsid w:val="00E64889"/>
    <w:rsid w:val="00E64C00"/>
    <w:rsid w:val="00E6560B"/>
    <w:rsid w:val="00E65D2A"/>
    <w:rsid w:val="00E704C4"/>
    <w:rsid w:val="00E706F6"/>
    <w:rsid w:val="00E746DA"/>
    <w:rsid w:val="00E7476F"/>
    <w:rsid w:val="00E7724C"/>
    <w:rsid w:val="00E8056A"/>
    <w:rsid w:val="00E8191B"/>
    <w:rsid w:val="00E81B70"/>
    <w:rsid w:val="00E872BB"/>
    <w:rsid w:val="00E92788"/>
    <w:rsid w:val="00E9536E"/>
    <w:rsid w:val="00E965FD"/>
    <w:rsid w:val="00E97083"/>
    <w:rsid w:val="00E97516"/>
    <w:rsid w:val="00EA2B38"/>
    <w:rsid w:val="00EA4E72"/>
    <w:rsid w:val="00EA59A3"/>
    <w:rsid w:val="00EA7E4A"/>
    <w:rsid w:val="00EB1957"/>
    <w:rsid w:val="00EB2AA4"/>
    <w:rsid w:val="00EB2BC4"/>
    <w:rsid w:val="00EB3442"/>
    <w:rsid w:val="00EB3F09"/>
    <w:rsid w:val="00EB4083"/>
    <w:rsid w:val="00EC0ECD"/>
    <w:rsid w:val="00EC296E"/>
    <w:rsid w:val="00EC3D2E"/>
    <w:rsid w:val="00EC5C23"/>
    <w:rsid w:val="00EC7142"/>
    <w:rsid w:val="00EC738A"/>
    <w:rsid w:val="00ED602E"/>
    <w:rsid w:val="00EE09C3"/>
    <w:rsid w:val="00EE2BBD"/>
    <w:rsid w:val="00EE2BC2"/>
    <w:rsid w:val="00EE4255"/>
    <w:rsid w:val="00EE679A"/>
    <w:rsid w:val="00EE6FEE"/>
    <w:rsid w:val="00EE73E8"/>
    <w:rsid w:val="00EF08CC"/>
    <w:rsid w:val="00EF1934"/>
    <w:rsid w:val="00EF2846"/>
    <w:rsid w:val="00EF3B20"/>
    <w:rsid w:val="00EF6003"/>
    <w:rsid w:val="00F0349C"/>
    <w:rsid w:val="00F10EEE"/>
    <w:rsid w:val="00F12ECB"/>
    <w:rsid w:val="00F13B55"/>
    <w:rsid w:val="00F13C05"/>
    <w:rsid w:val="00F17451"/>
    <w:rsid w:val="00F20178"/>
    <w:rsid w:val="00F20A17"/>
    <w:rsid w:val="00F21A73"/>
    <w:rsid w:val="00F24675"/>
    <w:rsid w:val="00F24E2E"/>
    <w:rsid w:val="00F265E5"/>
    <w:rsid w:val="00F26955"/>
    <w:rsid w:val="00F27323"/>
    <w:rsid w:val="00F30934"/>
    <w:rsid w:val="00F31371"/>
    <w:rsid w:val="00F35900"/>
    <w:rsid w:val="00F3614C"/>
    <w:rsid w:val="00F366A6"/>
    <w:rsid w:val="00F37EDF"/>
    <w:rsid w:val="00F37F2A"/>
    <w:rsid w:val="00F42665"/>
    <w:rsid w:val="00F505C3"/>
    <w:rsid w:val="00F52960"/>
    <w:rsid w:val="00F53E26"/>
    <w:rsid w:val="00F56DDF"/>
    <w:rsid w:val="00F6137F"/>
    <w:rsid w:val="00F67034"/>
    <w:rsid w:val="00F67157"/>
    <w:rsid w:val="00F67565"/>
    <w:rsid w:val="00F7178D"/>
    <w:rsid w:val="00F727F5"/>
    <w:rsid w:val="00F72893"/>
    <w:rsid w:val="00F72BF0"/>
    <w:rsid w:val="00F73C33"/>
    <w:rsid w:val="00F74D0F"/>
    <w:rsid w:val="00F7546C"/>
    <w:rsid w:val="00F75476"/>
    <w:rsid w:val="00F760CE"/>
    <w:rsid w:val="00F76737"/>
    <w:rsid w:val="00F77862"/>
    <w:rsid w:val="00F80216"/>
    <w:rsid w:val="00F80FC0"/>
    <w:rsid w:val="00F84BB9"/>
    <w:rsid w:val="00F86F97"/>
    <w:rsid w:val="00F91D9F"/>
    <w:rsid w:val="00F9257C"/>
    <w:rsid w:val="00F92C89"/>
    <w:rsid w:val="00F947EF"/>
    <w:rsid w:val="00F97A6B"/>
    <w:rsid w:val="00FA1C69"/>
    <w:rsid w:val="00FA3538"/>
    <w:rsid w:val="00FA56FA"/>
    <w:rsid w:val="00FA5B01"/>
    <w:rsid w:val="00FB0760"/>
    <w:rsid w:val="00FB3058"/>
    <w:rsid w:val="00FB50F7"/>
    <w:rsid w:val="00FC0CF8"/>
    <w:rsid w:val="00FC2BA5"/>
    <w:rsid w:val="00FC3291"/>
    <w:rsid w:val="00FC3C43"/>
    <w:rsid w:val="00FC3D8F"/>
    <w:rsid w:val="00FC533A"/>
    <w:rsid w:val="00FC59B8"/>
    <w:rsid w:val="00FD1977"/>
    <w:rsid w:val="00FD2066"/>
    <w:rsid w:val="00FD2BD2"/>
    <w:rsid w:val="00FD3DBB"/>
    <w:rsid w:val="00FD5DC2"/>
    <w:rsid w:val="00FD638A"/>
    <w:rsid w:val="00FD7A06"/>
    <w:rsid w:val="00FE7C68"/>
    <w:rsid w:val="00FF1A48"/>
    <w:rsid w:val="00FF1B44"/>
    <w:rsid w:val="00FF1E33"/>
    <w:rsid w:val="00FF22E4"/>
    <w:rsid w:val="00FF24DC"/>
    <w:rsid w:val="00FF60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89DE56C"/>
  <w15:docId w15:val="{E8ECA302-4DA4-4000-A422-7F38F384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4"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71B"/>
    <w:rPr>
      <w:sz w:val="24"/>
      <w:szCs w:val="24"/>
      <w:lang w:eastAsia="en-US"/>
    </w:rPr>
  </w:style>
  <w:style w:type="paragraph" w:styleId="Heading1">
    <w:name w:val="heading 1"/>
    <w:basedOn w:val="Normal"/>
    <w:next w:val="Normal"/>
    <w:qFormat/>
    <w:rsid w:val="0046571B"/>
    <w:pPr>
      <w:keepNext/>
      <w:numPr>
        <w:numId w:val="13"/>
      </w:numPr>
      <w:jc w:val="center"/>
      <w:outlineLvl w:val="0"/>
    </w:pPr>
    <w:rPr>
      <w:rFonts w:ascii="Arial" w:hAnsi="Arial" w:cs="Arial"/>
      <w:b/>
      <w:bCs/>
    </w:rPr>
  </w:style>
  <w:style w:type="paragraph" w:styleId="Heading2">
    <w:name w:val="heading 2"/>
    <w:basedOn w:val="Normal"/>
    <w:next w:val="Normal"/>
    <w:qFormat/>
    <w:rsid w:val="0046571B"/>
    <w:pPr>
      <w:keepNext/>
      <w:numPr>
        <w:ilvl w:val="1"/>
        <w:numId w:val="13"/>
      </w:numPr>
      <w:jc w:val="center"/>
      <w:outlineLvl w:val="1"/>
    </w:pPr>
    <w:rPr>
      <w:rFonts w:ascii="Arial" w:hAnsi="Arial" w:cs="Arial"/>
      <w:b/>
      <w:bCs/>
      <w:sz w:val="20"/>
    </w:rPr>
  </w:style>
  <w:style w:type="paragraph" w:styleId="Heading3">
    <w:name w:val="heading 3"/>
    <w:basedOn w:val="Normal"/>
    <w:next w:val="Normal"/>
    <w:link w:val="Heading3Char"/>
    <w:qFormat/>
    <w:rsid w:val="0046571B"/>
    <w:pPr>
      <w:keepNext/>
      <w:numPr>
        <w:ilvl w:val="2"/>
        <w:numId w:val="13"/>
      </w:numPr>
      <w:spacing w:before="240" w:after="60"/>
      <w:outlineLvl w:val="2"/>
    </w:pPr>
    <w:rPr>
      <w:rFonts w:ascii="Arial" w:hAnsi="Arial" w:cs="Arial"/>
      <w:b/>
      <w:bCs/>
      <w:sz w:val="26"/>
      <w:szCs w:val="26"/>
    </w:rPr>
  </w:style>
  <w:style w:type="paragraph" w:styleId="Heading5">
    <w:name w:val="heading 5"/>
    <w:basedOn w:val="Normal"/>
    <w:next w:val="Normal"/>
    <w:qFormat/>
    <w:rsid w:val="0046571B"/>
    <w:pPr>
      <w:numPr>
        <w:ilvl w:val="4"/>
        <w:numId w:val="13"/>
      </w:numPr>
      <w:spacing w:before="240" w:after="60"/>
      <w:outlineLvl w:val="4"/>
    </w:pPr>
    <w:rPr>
      <w:b/>
      <w:bCs/>
      <w:i/>
      <w:iCs/>
      <w:sz w:val="26"/>
      <w:szCs w:val="26"/>
    </w:rPr>
  </w:style>
  <w:style w:type="paragraph" w:styleId="Heading6">
    <w:name w:val="heading 6"/>
    <w:basedOn w:val="Normal"/>
    <w:next w:val="Normal"/>
    <w:qFormat/>
    <w:rsid w:val="0046571B"/>
    <w:pPr>
      <w:numPr>
        <w:ilvl w:val="5"/>
        <w:numId w:val="13"/>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571B"/>
    <w:rPr>
      <w:rFonts w:ascii="Arial" w:hAnsi="Arial" w:cs="Arial"/>
      <w:sz w:val="22"/>
    </w:rPr>
  </w:style>
  <w:style w:type="character" w:styleId="Strong">
    <w:name w:val="Strong"/>
    <w:basedOn w:val="DefaultParagraphFont"/>
    <w:qFormat/>
    <w:rsid w:val="0046571B"/>
    <w:rPr>
      <w:b/>
      <w:bCs/>
    </w:rPr>
  </w:style>
  <w:style w:type="character" w:styleId="Hyperlink">
    <w:name w:val="Hyperlink"/>
    <w:basedOn w:val="DefaultParagraphFont"/>
    <w:uiPriority w:val="99"/>
    <w:qFormat/>
    <w:rsid w:val="0046571B"/>
    <w:rPr>
      <w:color w:val="0000FF"/>
      <w:u w:val="single"/>
    </w:rPr>
  </w:style>
  <w:style w:type="paragraph" w:styleId="Header">
    <w:name w:val="header"/>
    <w:basedOn w:val="Normal"/>
    <w:rsid w:val="000D1A66"/>
    <w:pPr>
      <w:tabs>
        <w:tab w:val="center" w:pos="4153"/>
        <w:tab w:val="right" w:pos="8306"/>
      </w:tabs>
    </w:pPr>
  </w:style>
  <w:style w:type="paragraph" w:styleId="BodyText2">
    <w:name w:val="Body Text 2"/>
    <w:basedOn w:val="Normal"/>
    <w:rsid w:val="0046571B"/>
    <w:pPr>
      <w:spacing w:after="120" w:line="480" w:lineRule="auto"/>
    </w:pPr>
  </w:style>
  <w:style w:type="character" w:customStyle="1" w:styleId="value">
    <w:name w:val="value"/>
    <w:basedOn w:val="DefaultParagraphFont"/>
    <w:rsid w:val="0046571B"/>
  </w:style>
  <w:style w:type="paragraph" w:customStyle="1" w:styleId="SafeBody">
    <w:name w:val="SafeBody"/>
    <w:basedOn w:val="Normal"/>
    <w:rsid w:val="0046571B"/>
    <w:pPr>
      <w:jc w:val="both"/>
    </w:pPr>
    <w:rPr>
      <w:rFonts w:ascii="Arial" w:hAnsi="Arial"/>
      <w:sz w:val="20"/>
      <w:szCs w:val="20"/>
    </w:rPr>
  </w:style>
  <w:style w:type="paragraph" w:customStyle="1" w:styleId="SafeHead2">
    <w:name w:val="SafeHead 2"/>
    <w:basedOn w:val="SafeBody"/>
    <w:autoRedefine/>
    <w:rsid w:val="0046571B"/>
    <w:pPr>
      <w:spacing w:line="320" w:lineRule="exact"/>
      <w:jc w:val="left"/>
    </w:pPr>
    <w:rPr>
      <w:b/>
      <w:bCs/>
      <w:sz w:val="24"/>
    </w:rPr>
  </w:style>
  <w:style w:type="character" w:styleId="FollowedHyperlink">
    <w:name w:val="FollowedHyperlink"/>
    <w:basedOn w:val="DefaultParagraphFont"/>
    <w:rsid w:val="0046571B"/>
    <w:rPr>
      <w:color w:val="800080"/>
      <w:u w:val="single"/>
    </w:rPr>
  </w:style>
  <w:style w:type="paragraph" w:styleId="BalloonText">
    <w:name w:val="Balloon Text"/>
    <w:basedOn w:val="Normal"/>
    <w:semiHidden/>
    <w:rsid w:val="0046571B"/>
    <w:rPr>
      <w:rFonts w:ascii="Tahoma" w:hAnsi="Tahoma" w:cs="Tahoma"/>
      <w:sz w:val="16"/>
      <w:szCs w:val="16"/>
    </w:rPr>
  </w:style>
  <w:style w:type="paragraph" w:styleId="Footer">
    <w:name w:val="footer"/>
    <w:basedOn w:val="Normal"/>
    <w:link w:val="FooterChar"/>
    <w:uiPriority w:val="99"/>
    <w:rsid w:val="000D1A66"/>
    <w:pPr>
      <w:tabs>
        <w:tab w:val="center" w:pos="4153"/>
        <w:tab w:val="right" w:pos="8306"/>
      </w:tabs>
    </w:pPr>
  </w:style>
  <w:style w:type="paragraph" w:customStyle="1" w:styleId="EcoCampusNormalBold">
    <w:name w:val="EcoCampus Normal Bold"/>
    <w:basedOn w:val="Normal"/>
    <w:rsid w:val="002B7AD4"/>
    <w:pPr>
      <w:spacing w:beforeLines="50" w:afterLines="50"/>
    </w:pPr>
    <w:rPr>
      <w:rFonts w:ascii="Arial" w:hAnsi="Arial"/>
      <w:b/>
      <w:szCs w:val="20"/>
    </w:rPr>
  </w:style>
  <w:style w:type="character" w:styleId="CommentReference">
    <w:name w:val="annotation reference"/>
    <w:basedOn w:val="DefaultParagraphFont"/>
    <w:semiHidden/>
    <w:rsid w:val="004D79F4"/>
    <w:rPr>
      <w:sz w:val="16"/>
      <w:szCs w:val="16"/>
    </w:rPr>
  </w:style>
  <w:style w:type="paragraph" w:styleId="CommentText">
    <w:name w:val="annotation text"/>
    <w:basedOn w:val="Normal"/>
    <w:semiHidden/>
    <w:rsid w:val="004D79F4"/>
    <w:rPr>
      <w:sz w:val="20"/>
      <w:szCs w:val="20"/>
    </w:rPr>
  </w:style>
  <w:style w:type="paragraph" w:styleId="CommentSubject">
    <w:name w:val="annotation subject"/>
    <w:basedOn w:val="CommentText"/>
    <w:next w:val="CommentText"/>
    <w:semiHidden/>
    <w:rsid w:val="004D79F4"/>
    <w:rPr>
      <w:b/>
      <w:bCs/>
    </w:rPr>
  </w:style>
  <w:style w:type="table" w:styleId="TableGrid">
    <w:name w:val="Table Grid"/>
    <w:basedOn w:val="TableNormal"/>
    <w:uiPriority w:val="59"/>
    <w:rsid w:val="00740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3"/>
    <w:qFormat/>
    <w:rsid w:val="003D7FF0"/>
    <w:rPr>
      <w:i/>
      <w:iCs/>
    </w:rPr>
  </w:style>
  <w:style w:type="character" w:customStyle="1" w:styleId="Heading3Char">
    <w:name w:val="Heading 3 Char"/>
    <w:link w:val="Heading3"/>
    <w:rsid w:val="003D7FF0"/>
    <w:rPr>
      <w:rFonts w:ascii="Arial" w:hAnsi="Arial" w:cs="Arial"/>
      <w:b/>
      <w:bCs/>
      <w:sz w:val="26"/>
      <w:szCs w:val="26"/>
      <w:lang w:eastAsia="en-US"/>
    </w:rPr>
  </w:style>
  <w:style w:type="character" w:customStyle="1" w:styleId="FooterChar">
    <w:name w:val="Footer Char"/>
    <w:basedOn w:val="DefaultParagraphFont"/>
    <w:link w:val="Footer"/>
    <w:uiPriority w:val="99"/>
    <w:rsid w:val="00E6560B"/>
    <w:rPr>
      <w:sz w:val="24"/>
      <w:szCs w:val="24"/>
      <w:lang w:eastAsia="en-US"/>
    </w:rPr>
  </w:style>
  <w:style w:type="paragraph" w:customStyle="1" w:styleId="Standard">
    <w:name w:val="Standard"/>
    <w:rsid w:val="00E6560B"/>
    <w:pPr>
      <w:autoSpaceDE w:val="0"/>
      <w:autoSpaceDN w:val="0"/>
      <w:textAlignment w:val="baseline"/>
    </w:pPr>
    <w:rPr>
      <w:sz w:val="24"/>
      <w:szCs w:val="24"/>
    </w:rPr>
  </w:style>
  <w:style w:type="paragraph" w:styleId="ListNumber">
    <w:name w:val="List Number"/>
    <w:basedOn w:val="Normal"/>
    <w:uiPriority w:val="4"/>
    <w:qFormat/>
    <w:rsid w:val="00E6560B"/>
    <w:pPr>
      <w:numPr>
        <w:numId w:val="23"/>
      </w:numPr>
      <w:spacing w:after="200" w:line="276" w:lineRule="auto"/>
      <w:contextualSpacing/>
    </w:pPr>
    <w:rPr>
      <w:rFonts w:ascii="Arial" w:eastAsia="Calibri" w:hAnsi="Arial"/>
    </w:rPr>
  </w:style>
  <w:style w:type="paragraph" w:styleId="ListParagraph">
    <w:name w:val="List Paragraph"/>
    <w:basedOn w:val="Normal"/>
    <w:uiPriority w:val="4"/>
    <w:qFormat/>
    <w:rsid w:val="00E6560B"/>
    <w:pPr>
      <w:spacing w:after="200" w:line="276" w:lineRule="auto"/>
      <w:ind w:left="720"/>
      <w:contextualSpacing/>
    </w:pPr>
    <w:rPr>
      <w:rFonts w:ascii="Arial" w:eastAsia="Calibri" w:hAnsi="Arial"/>
    </w:rPr>
  </w:style>
  <w:style w:type="character" w:customStyle="1" w:styleId="apple-converted-space">
    <w:name w:val="apple-converted-space"/>
    <w:basedOn w:val="DefaultParagraphFont"/>
    <w:rsid w:val="003614A8"/>
  </w:style>
  <w:style w:type="paragraph" w:styleId="NormalWeb">
    <w:name w:val="Normal (Web)"/>
    <w:basedOn w:val="Normal"/>
    <w:uiPriority w:val="99"/>
    <w:unhideWhenUsed/>
    <w:rsid w:val="002136C3"/>
    <w:pPr>
      <w:spacing w:before="100" w:beforeAutospacing="1" w:after="100" w:afterAutospacing="1"/>
    </w:pPr>
    <w:rPr>
      <w:lang w:eastAsia="en-GB"/>
    </w:rPr>
  </w:style>
  <w:style w:type="paragraph" w:styleId="TOC1">
    <w:name w:val="toc 1"/>
    <w:basedOn w:val="Normal"/>
    <w:next w:val="Normal"/>
    <w:autoRedefine/>
    <w:uiPriority w:val="39"/>
    <w:unhideWhenUsed/>
    <w:rsid w:val="00B85D31"/>
    <w:pPr>
      <w:spacing w:after="100"/>
    </w:pPr>
    <w:rPr>
      <w:rFonts w:ascii="Arial" w:hAnsi="Arial"/>
    </w:rPr>
  </w:style>
  <w:style w:type="paragraph" w:styleId="TOC2">
    <w:name w:val="toc 2"/>
    <w:basedOn w:val="Normal"/>
    <w:next w:val="Normal"/>
    <w:autoRedefine/>
    <w:uiPriority w:val="39"/>
    <w:unhideWhenUsed/>
    <w:rsid w:val="005D0531"/>
    <w:pPr>
      <w:spacing w:after="100"/>
      <w:ind w:left="240"/>
    </w:pPr>
  </w:style>
  <w:style w:type="character" w:styleId="UnresolvedMention">
    <w:name w:val="Unresolved Mention"/>
    <w:basedOn w:val="DefaultParagraphFont"/>
    <w:uiPriority w:val="99"/>
    <w:semiHidden/>
    <w:unhideWhenUsed/>
    <w:rsid w:val="00977C0D"/>
    <w:rPr>
      <w:color w:val="605E5C"/>
      <w:shd w:val="clear" w:color="auto" w:fill="E1DFDD"/>
    </w:rPr>
  </w:style>
  <w:style w:type="paragraph" w:styleId="Revision">
    <w:name w:val="Revision"/>
    <w:hidden/>
    <w:uiPriority w:val="99"/>
    <w:semiHidden/>
    <w:rsid w:val="002A70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972">
      <w:bodyDiv w:val="1"/>
      <w:marLeft w:val="0"/>
      <w:marRight w:val="0"/>
      <w:marTop w:val="0"/>
      <w:marBottom w:val="0"/>
      <w:divBdr>
        <w:top w:val="none" w:sz="0" w:space="0" w:color="auto"/>
        <w:left w:val="none" w:sz="0" w:space="0" w:color="auto"/>
        <w:bottom w:val="none" w:sz="0" w:space="0" w:color="auto"/>
        <w:right w:val="none" w:sz="0" w:space="0" w:color="auto"/>
      </w:divBdr>
    </w:div>
    <w:div w:id="134300129">
      <w:bodyDiv w:val="1"/>
      <w:marLeft w:val="0"/>
      <w:marRight w:val="0"/>
      <w:marTop w:val="0"/>
      <w:marBottom w:val="0"/>
      <w:divBdr>
        <w:top w:val="none" w:sz="0" w:space="0" w:color="auto"/>
        <w:left w:val="none" w:sz="0" w:space="0" w:color="auto"/>
        <w:bottom w:val="none" w:sz="0" w:space="0" w:color="auto"/>
        <w:right w:val="none" w:sz="0" w:space="0" w:color="auto"/>
      </w:divBdr>
    </w:div>
    <w:div w:id="140973263">
      <w:bodyDiv w:val="1"/>
      <w:marLeft w:val="0"/>
      <w:marRight w:val="0"/>
      <w:marTop w:val="0"/>
      <w:marBottom w:val="0"/>
      <w:divBdr>
        <w:top w:val="none" w:sz="0" w:space="0" w:color="auto"/>
        <w:left w:val="none" w:sz="0" w:space="0" w:color="auto"/>
        <w:bottom w:val="none" w:sz="0" w:space="0" w:color="auto"/>
        <w:right w:val="none" w:sz="0" w:space="0" w:color="auto"/>
      </w:divBdr>
    </w:div>
    <w:div w:id="216404225">
      <w:bodyDiv w:val="1"/>
      <w:marLeft w:val="0"/>
      <w:marRight w:val="0"/>
      <w:marTop w:val="0"/>
      <w:marBottom w:val="0"/>
      <w:divBdr>
        <w:top w:val="none" w:sz="0" w:space="0" w:color="auto"/>
        <w:left w:val="none" w:sz="0" w:space="0" w:color="auto"/>
        <w:bottom w:val="none" w:sz="0" w:space="0" w:color="auto"/>
        <w:right w:val="none" w:sz="0" w:space="0" w:color="auto"/>
      </w:divBdr>
    </w:div>
    <w:div w:id="276642916">
      <w:bodyDiv w:val="1"/>
      <w:marLeft w:val="0"/>
      <w:marRight w:val="0"/>
      <w:marTop w:val="0"/>
      <w:marBottom w:val="0"/>
      <w:divBdr>
        <w:top w:val="none" w:sz="0" w:space="0" w:color="auto"/>
        <w:left w:val="none" w:sz="0" w:space="0" w:color="auto"/>
        <w:bottom w:val="none" w:sz="0" w:space="0" w:color="auto"/>
        <w:right w:val="none" w:sz="0" w:space="0" w:color="auto"/>
      </w:divBdr>
    </w:div>
    <w:div w:id="295372910">
      <w:bodyDiv w:val="1"/>
      <w:marLeft w:val="0"/>
      <w:marRight w:val="0"/>
      <w:marTop w:val="0"/>
      <w:marBottom w:val="0"/>
      <w:divBdr>
        <w:top w:val="none" w:sz="0" w:space="0" w:color="auto"/>
        <w:left w:val="none" w:sz="0" w:space="0" w:color="auto"/>
        <w:bottom w:val="none" w:sz="0" w:space="0" w:color="auto"/>
        <w:right w:val="none" w:sz="0" w:space="0" w:color="auto"/>
      </w:divBdr>
    </w:div>
    <w:div w:id="320084011">
      <w:bodyDiv w:val="1"/>
      <w:marLeft w:val="0"/>
      <w:marRight w:val="0"/>
      <w:marTop w:val="0"/>
      <w:marBottom w:val="0"/>
      <w:divBdr>
        <w:top w:val="none" w:sz="0" w:space="0" w:color="auto"/>
        <w:left w:val="none" w:sz="0" w:space="0" w:color="auto"/>
        <w:bottom w:val="none" w:sz="0" w:space="0" w:color="auto"/>
        <w:right w:val="none" w:sz="0" w:space="0" w:color="auto"/>
      </w:divBdr>
      <w:divsChild>
        <w:div w:id="1409158499">
          <w:marLeft w:val="0"/>
          <w:marRight w:val="0"/>
          <w:marTop w:val="0"/>
          <w:marBottom w:val="0"/>
          <w:divBdr>
            <w:top w:val="none" w:sz="0" w:space="0" w:color="auto"/>
            <w:left w:val="none" w:sz="0" w:space="0" w:color="auto"/>
            <w:bottom w:val="none" w:sz="0" w:space="0" w:color="auto"/>
            <w:right w:val="none" w:sz="0" w:space="0" w:color="auto"/>
          </w:divBdr>
          <w:divsChild>
            <w:div w:id="858473048">
              <w:marLeft w:val="0"/>
              <w:marRight w:val="0"/>
              <w:marTop w:val="0"/>
              <w:marBottom w:val="0"/>
              <w:divBdr>
                <w:top w:val="none" w:sz="0" w:space="0" w:color="auto"/>
                <w:left w:val="none" w:sz="0" w:space="0" w:color="auto"/>
                <w:bottom w:val="none" w:sz="0" w:space="0" w:color="auto"/>
                <w:right w:val="none" w:sz="0" w:space="0" w:color="auto"/>
              </w:divBdr>
            </w:div>
            <w:div w:id="12697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5902">
      <w:bodyDiv w:val="1"/>
      <w:marLeft w:val="0"/>
      <w:marRight w:val="0"/>
      <w:marTop w:val="0"/>
      <w:marBottom w:val="0"/>
      <w:divBdr>
        <w:top w:val="none" w:sz="0" w:space="0" w:color="auto"/>
        <w:left w:val="none" w:sz="0" w:space="0" w:color="auto"/>
        <w:bottom w:val="none" w:sz="0" w:space="0" w:color="auto"/>
        <w:right w:val="none" w:sz="0" w:space="0" w:color="auto"/>
      </w:divBdr>
    </w:div>
    <w:div w:id="760873059">
      <w:bodyDiv w:val="1"/>
      <w:marLeft w:val="0"/>
      <w:marRight w:val="0"/>
      <w:marTop w:val="0"/>
      <w:marBottom w:val="0"/>
      <w:divBdr>
        <w:top w:val="none" w:sz="0" w:space="0" w:color="auto"/>
        <w:left w:val="none" w:sz="0" w:space="0" w:color="auto"/>
        <w:bottom w:val="none" w:sz="0" w:space="0" w:color="auto"/>
        <w:right w:val="none" w:sz="0" w:space="0" w:color="auto"/>
      </w:divBdr>
    </w:div>
    <w:div w:id="1109861160">
      <w:bodyDiv w:val="1"/>
      <w:marLeft w:val="0"/>
      <w:marRight w:val="0"/>
      <w:marTop w:val="0"/>
      <w:marBottom w:val="0"/>
      <w:divBdr>
        <w:top w:val="none" w:sz="0" w:space="0" w:color="auto"/>
        <w:left w:val="none" w:sz="0" w:space="0" w:color="auto"/>
        <w:bottom w:val="none" w:sz="0" w:space="0" w:color="auto"/>
        <w:right w:val="none" w:sz="0" w:space="0" w:color="auto"/>
      </w:divBdr>
      <w:divsChild>
        <w:div w:id="206338171">
          <w:marLeft w:val="0"/>
          <w:marRight w:val="0"/>
          <w:marTop w:val="0"/>
          <w:marBottom w:val="0"/>
          <w:divBdr>
            <w:top w:val="none" w:sz="0" w:space="0" w:color="auto"/>
            <w:left w:val="none" w:sz="0" w:space="0" w:color="auto"/>
            <w:bottom w:val="none" w:sz="0" w:space="0" w:color="auto"/>
            <w:right w:val="none" w:sz="0" w:space="0" w:color="auto"/>
          </w:divBdr>
          <w:divsChild>
            <w:div w:id="1672373082">
              <w:marLeft w:val="0"/>
              <w:marRight w:val="0"/>
              <w:marTop w:val="0"/>
              <w:marBottom w:val="0"/>
              <w:divBdr>
                <w:top w:val="none" w:sz="0" w:space="0" w:color="auto"/>
                <w:left w:val="none" w:sz="0" w:space="0" w:color="auto"/>
                <w:bottom w:val="none" w:sz="0" w:space="0" w:color="auto"/>
                <w:right w:val="none" w:sz="0" w:space="0" w:color="auto"/>
              </w:divBdr>
            </w:div>
            <w:div w:id="17804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1606">
      <w:bodyDiv w:val="1"/>
      <w:marLeft w:val="0"/>
      <w:marRight w:val="0"/>
      <w:marTop w:val="0"/>
      <w:marBottom w:val="0"/>
      <w:divBdr>
        <w:top w:val="none" w:sz="0" w:space="0" w:color="auto"/>
        <w:left w:val="none" w:sz="0" w:space="0" w:color="auto"/>
        <w:bottom w:val="none" w:sz="0" w:space="0" w:color="auto"/>
        <w:right w:val="none" w:sz="0" w:space="0" w:color="auto"/>
      </w:divBdr>
    </w:div>
    <w:div w:id="1244683618">
      <w:bodyDiv w:val="1"/>
      <w:marLeft w:val="0"/>
      <w:marRight w:val="0"/>
      <w:marTop w:val="0"/>
      <w:marBottom w:val="0"/>
      <w:divBdr>
        <w:top w:val="none" w:sz="0" w:space="0" w:color="auto"/>
        <w:left w:val="none" w:sz="0" w:space="0" w:color="auto"/>
        <w:bottom w:val="none" w:sz="0" w:space="0" w:color="auto"/>
        <w:right w:val="none" w:sz="0" w:space="0" w:color="auto"/>
      </w:divBdr>
      <w:divsChild>
        <w:div w:id="341780835">
          <w:marLeft w:val="0"/>
          <w:marRight w:val="0"/>
          <w:marTop w:val="0"/>
          <w:marBottom w:val="0"/>
          <w:divBdr>
            <w:top w:val="none" w:sz="0" w:space="0" w:color="auto"/>
            <w:left w:val="none" w:sz="0" w:space="0" w:color="auto"/>
            <w:bottom w:val="none" w:sz="0" w:space="0" w:color="auto"/>
            <w:right w:val="none" w:sz="0" w:space="0" w:color="auto"/>
          </w:divBdr>
          <w:divsChild>
            <w:div w:id="190071488">
              <w:marLeft w:val="0"/>
              <w:marRight w:val="0"/>
              <w:marTop w:val="0"/>
              <w:marBottom w:val="0"/>
              <w:divBdr>
                <w:top w:val="none" w:sz="0" w:space="0" w:color="auto"/>
                <w:left w:val="none" w:sz="0" w:space="0" w:color="auto"/>
                <w:bottom w:val="none" w:sz="0" w:space="0" w:color="auto"/>
                <w:right w:val="none" w:sz="0" w:space="0" w:color="auto"/>
              </w:divBdr>
            </w:div>
            <w:div w:id="18014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9950">
      <w:bodyDiv w:val="1"/>
      <w:marLeft w:val="0"/>
      <w:marRight w:val="0"/>
      <w:marTop w:val="0"/>
      <w:marBottom w:val="0"/>
      <w:divBdr>
        <w:top w:val="none" w:sz="0" w:space="0" w:color="auto"/>
        <w:left w:val="none" w:sz="0" w:space="0" w:color="auto"/>
        <w:bottom w:val="none" w:sz="0" w:space="0" w:color="auto"/>
        <w:right w:val="none" w:sz="0" w:space="0" w:color="auto"/>
      </w:divBdr>
    </w:div>
    <w:div w:id="19406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ta.gov.uk/guidance-professionals/hta-legislation/relevant-material-under-human-tissue-act-2004/list-materials" TargetMode="External"/><Relationship Id="rId18" Type="http://schemas.openxmlformats.org/officeDocument/2006/relationships/hyperlink" Target="https://byglearning.com/mrcrsc-lms/course/index.php?categoryid=1" TargetMode="External"/><Relationship Id="rId26" Type="http://schemas.openxmlformats.org/officeDocument/2006/relationships/hyperlink" Target="https://www.hta.gov.uk/guidance-professionals/regulated-sectors/anatomy/model-anatomy-consent-forms-and-body-donation" TargetMode="External"/><Relationship Id="rId39" Type="http://schemas.openxmlformats.org/officeDocument/2006/relationships/hyperlink" Target="http://www.bristol.ac.uk/red/research-governance/human-tissue/" TargetMode="External"/><Relationship Id="rId21" Type="http://schemas.openxmlformats.org/officeDocument/2006/relationships/hyperlink" Target="https://content.hta.gov.uk/sites/default/files/2020-11/Code%20E.pdf" TargetMode="External"/><Relationship Id="rId34" Type="http://schemas.openxmlformats.org/officeDocument/2006/relationships/hyperlink" Target="http://www.bristol.ac.uk/red/research-governance/ethics/nhs-ethics/index.html" TargetMode="External"/><Relationship Id="rId42" Type="http://schemas.openxmlformats.org/officeDocument/2006/relationships/hyperlink" Target="https://www.hta.gov.uk/guidance-professionals/codes-practice-standards-and-legislation/codes-practice" TargetMode="External"/><Relationship Id="rId47" Type="http://schemas.openxmlformats.org/officeDocument/2006/relationships/hyperlink" Target="https://www.ukri.org/publications/research-and-the-human-tissue-act-2004/" TargetMode="External"/><Relationship Id="rId50" Type="http://schemas.openxmlformats.org/officeDocument/2006/relationships/hyperlink" Target="https://www.ukri.org/wp-content/uploads/2021/11/MRC-291121-GuidanceForStaffAskedToVolunteerSamples.pdf" TargetMode="External"/><Relationship Id="rId55" Type="http://schemas.openxmlformats.org/officeDocument/2006/relationships/hyperlink" Target="http://www.bris.ac.uk/safety/staff/biosafety/"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rtal.hfea.gov.uk/media/1756/2021-10-26-code-of-practice-2021.pdf" TargetMode="External"/><Relationship Id="rId29" Type="http://schemas.openxmlformats.org/officeDocument/2006/relationships/hyperlink" Target="http://www.bristol.ac.uk/safety/media/gn/safety-organisation-g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stol.ac.uk/secretary/student-rules-regs/" TargetMode="External"/><Relationship Id="rId24" Type="http://schemas.openxmlformats.org/officeDocument/2006/relationships/hyperlink" Target="https://www.hta.gov.uk/guidance-professionals/codes-practice-standards-and-legislation/codes-practice" TargetMode="External"/><Relationship Id="rId32" Type="http://schemas.openxmlformats.org/officeDocument/2006/relationships/hyperlink" Target="https://www.bristol.ac.uk/red/research-governance/human-tissue/inspections-audits/" TargetMode="External"/><Relationship Id="rId37" Type="http://schemas.openxmlformats.org/officeDocument/2006/relationships/hyperlink" Target="https://www.ukri.org/wp-content/uploads/2021/08/MRC-0208212-Human-tissue-and-biological-samples-for-use-in-research.pdf" TargetMode="External"/><Relationship Id="rId40" Type="http://schemas.openxmlformats.org/officeDocument/2006/relationships/hyperlink" Target="https://www.bristol.ac.uk/applicants/media/policy-documents/2018/undergraduate/research-misconduct-regulations.pdf" TargetMode="External"/><Relationship Id="rId45" Type="http://schemas.openxmlformats.org/officeDocument/2006/relationships/hyperlink" Target="https://www.hfea.gov.uk/" TargetMode="External"/><Relationship Id="rId53" Type="http://schemas.openxmlformats.org/officeDocument/2006/relationships/hyperlink" Target="http://www.bristol.ac.uk/safety/staff/biosafety" TargetMode="External"/><Relationship Id="rId58" Type="http://schemas.openxmlformats.org/officeDocument/2006/relationships/header" Target="header1.xm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kri.org/councils/mrc/facilities-and-resources/find-an-mrc-facility-or-resource/mrc-regulatory-support-centre/using-human-samples-in-research/" TargetMode="External"/><Relationship Id="rId23" Type="http://schemas.openxmlformats.org/officeDocument/2006/relationships/hyperlink" Target="https://www.hta.gov.uk/guidance-professionals/licences-roles-and-fees/licensing/licensing-under-ht-act/designated" TargetMode="External"/><Relationship Id="rId28" Type="http://schemas.openxmlformats.org/officeDocument/2006/relationships/hyperlink" Target="https://www.hta.gov.uk/guidance-professionals/codes-practice-standards-and-legislation/codes-practice" TargetMode="External"/><Relationship Id="rId36" Type="http://schemas.openxmlformats.org/officeDocument/2006/relationships/hyperlink" Target="http://www.bristol.ac.uk/red/research-governance/human-tissue/resources/" TargetMode="External"/><Relationship Id="rId49" Type="http://schemas.openxmlformats.org/officeDocument/2006/relationships/hyperlink" Target="https://www.ukri.org/wp-content/uploads/2021/08/MRC-0208212-Good-research-practice_2014.pdf" TargetMode="External"/><Relationship Id="rId57" Type="http://schemas.openxmlformats.org/officeDocument/2006/relationships/hyperlink" Target="http://www.bristol.ac.uk/safety/staff/training/"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ra.nhs.uk/planning-and-improving-research/learning/e-learning/" TargetMode="External"/><Relationship Id="rId31" Type="http://schemas.openxmlformats.org/officeDocument/2006/relationships/hyperlink" Target="http://www.bristol.ac.uk/safety/media/gn/lone-working-gn.pdf" TargetMode="External"/><Relationship Id="rId44" Type="http://schemas.openxmlformats.org/officeDocument/2006/relationships/hyperlink" Target="https://www.hta.gov.uk/guidance-professionals/licences-roles-and-fees/licensing" TargetMode="External"/><Relationship Id="rId52" Type="http://schemas.openxmlformats.org/officeDocument/2006/relationships/hyperlink" Target="https://www.bristol.ac.uk/safety/staff/biosafety" TargetMode="External"/><Relationship Id="rId60" Type="http://schemas.openxmlformats.org/officeDocument/2006/relationships/footer" Target="footer1.xm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ta.gov.uk/guidance-professionals/codes-practice" TargetMode="External"/><Relationship Id="rId22" Type="http://schemas.openxmlformats.org/officeDocument/2006/relationships/hyperlink" Target="https://www.bristol.ac.uk/red/research-governance/human-tissue/designated-individuals/" TargetMode="External"/><Relationship Id="rId27" Type="http://schemas.openxmlformats.org/officeDocument/2006/relationships/hyperlink" Target="http://www.hra-decisiontools.org.uk/consent/examples.html" TargetMode="External"/><Relationship Id="rId30" Type="http://schemas.openxmlformats.org/officeDocument/2006/relationships/hyperlink" Target="http://www.bristol.ac.uk/safety/policies/" TargetMode="External"/><Relationship Id="rId35" Type="http://schemas.openxmlformats.org/officeDocument/2006/relationships/hyperlink" Target="https://www.ukri.org/wp-content/uploads/2021/11/MRC-291121-GuidanceForStaffAskedToVolunteerSamples.pdf" TargetMode="External"/><Relationship Id="rId43" Type="http://schemas.openxmlformats.org/officeDocument/2006/relationships/hyperlink" Target="https://www.hta.gov.uk/guidance-professionals/hta-legislation/relevant-material-under-human-tissue-act-2004/list-materials" TargetMode="External"/><Relationship Id="rId48" Type="http://schemas.openxmlformats.org/officeDocument/2006/relationships/hyperlink" Target="https://www.ukri.org/wp-content/uploads/2021/08/MRC-0208212-Human-tissue-and-biological-samples-for-use-in-research.pdf" TargetMode="External"/><Relationship Id="rId56" Type="http://schemas.openxmlformats.org/officeDocument/2006/relationships/hyperlink" Target="http://www.bris.ac.uk/safety/staff/biosafety/" TargetMode="External"/><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hra.nhs.uk/" TargetMode="External"/><Relationship Id="rId3" Type="http://schemas.openxmlformats.org/officeDocument/2006/relationships/customXml" Target="../customXml/item3.xml"/><Relationship Id="rId12" Type="http://schemas.openxmlformats.org/officeDocument/2006/relationships/hyperlink" Target="https://www.hta.gov.uk/guidance-professionals/hta-legislation/human-tissue-act-2004" TargetMode="External"/><Relationship Id="rId17" Type="http://schemas.openxmlformats.org/officeDocument/2006/relationships/hyperlink" Target="https://www.bristol.ac.uk/red/research-governance/human-tissue/university-arrangements/" TargetMode="External"/><Relationship Id="rId25" Type="http://schemas.openxmlformats.org/officeDocument/2006/relationships/hyperlink" Target="https://www.hta.gov.uk/guidance-professionals/regulated-sectors/post-mortem/post-mortem-model-consent-forms" TargetMode="External"/><Relationship Id="rId33" Type="http://schemas.openxmlformats.org/officeDocument/2006/relationships/hyperlink" Target="http://www.bristol.ac.uk/red/research-governance/human-tissue/resources/" TargetMode="External"/><Relationship Id="rId38" Type="http://schemas.openxmlformats.org/officeDocument/2006/relationships/hyperlink" Target="https://www.ukri.org/wp-content/uploads/2021/08/MRC-0208212-Good-research-practice_2014.pdf" TargetMode="External"/><Relationship Id="rId46" Type="http://schemas.openxmlformats.org/officeDocument/2006/relationships/hyperlink" Target="https://www.ukri.org/councils/mrc/facilities-and-resources/find-an-mrc-facility-or-resource/mrc-regulatory-support-centre/using-human-samples-in-research/" TargetMode="External"/><Relationship Id="rId59" Type="http://schemas.openxmlformats.org/officeDocument/2006/relationships/header" Target="header2.xml"/><Relationship Id="rId67" Type="http://schemas.openxmlformats.org/officeDocument/2006/relationships/theme" Target="theme/theme1.xml"/><Relationship Id="rId20" Type="http://schemas.openxmlformats.org/officeDocument/2006/relationships/hyperlink" Target="https://www.bristol.ac.uk/secretary/data-protection/gdpr/" TargetMode="External"/><Relationship Id="rId41" Type="http://schemas.openxmlformats.org/officeDocument/2006/relationships/hyperlink" Target="https://www.hta.gov.uk/" TargetMode="External"/><Relationship Id="rId54" Type="http://schemas.openxmlformats.org/officeDocument/2006/relationships/hyperlink" Target="http://www.bris.ac.uk/safety/occupational-health/contact/needlestick-hotline/" TargetMode="External"/><Relationship Id="rId62"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2" ma:contentTypeDescription="Create a new document." ma:contentTypeScope="" ma:versionID="fb71773273402dc149fb947a284abb11">
  <xsd:schema xmlns:xsd="http://www.w3.org/2001/XMLSchema" xmlns:xs="http://www.w3.org/2001/XMLSchema" xmlns:p="http://schemas.microsoft.com/office/2006/metadata/properties" xmlns:ns1="http://schemas.microsoft.com/sharepoint/v3" xmlns:ns3="a513e81c-aa9f-4134-a2a7-faa122d73f4f" xmlns:ns4="ea475f6a-d5b8-4bf9-8b37-4787615644ac" targetNamespace="http://schemas.microsoft.com/office/2006/metadata/properties" ma:root="true" ma:fieldsID="9ee03666292fd1e7052c20f3ab0874ca" ns1:_="" ns3:_="" ns4:_="">
    <xsd:import namespace="http://schemas.microsoft.com/sharepoint/v3"/>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0DF53-0D35-493D-B048-98F8383EFA4F}">
  <ds:schemaRefs>
    <ds:schemaRef ds:uri="http://schemas.openxmlformats.org/officeDocument/2006/bibliography"/>
  </ds:schemaRefs>
</ds:datastoreItem>
</file>

<file path=customXml/itemProps2.xml><?xml version="1.0" encoding="utf-8"?>
<ds:datastoreItem xmlns:ds="http://schemas.openxmlformats.org/officeDocument/2006/customXml" ds:itemID="{FD850C1E-626E-46C6-AD0B-758DCECC506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411951-2C67-48B3-893E-F7B6E38D2941}">
  <ds:schemaRefs>
    <ds:schemaRef ds:uri="http://schemas.microsoft.com/sharepoint/v3/contenttype/forms"/>
  </ds:schemaRefs>
</ds:datastoreItem>
</file>

<file path=customXml/itemProps4.xml><?xml version="1.0" encoding="utf-8"?>
<ds:datastoreItem xmlns:ds="http://schemas.openxmlformats.org/officeDocument/2006/customXml" ds:itemID="{B3445B2F-18B0-4195-AD00-D6814290D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8802</Words>
  <Characters>53166</Characters>
  <Application>Microsoft Office Word</Application>
  <DocSecurity>0</DocSecurity>
  <Lines>443</Lines>
  <Paragraphs>123</Paragraphs>
  <ScaleCrop>false</ScaleCrop>
  <HeadingPairs>
    <vt:vector size="2" baseType="variant">
      <vt:variant>
        <vt:lpstr>Title</vt:lpstr>
      </vt:variant>
      <vt:variant>
        <vt:i4>1</vt:i4>
      </vt:variant>
    </vt:vector>
  </HeadingPairs>
  <TitlesOfParts>
    <vt:vector size="1" baseType="lpstr">
      <vt:lpstr>Human Tissue Act 2004</vt:lpstr>
    </vt:vector>
  </TitlesOfParts>
  <Company>University of Bristol</Company>
  <LinksUpToDate>false</LinksUpToDate>
  <CharactersWithSpaces>61845</CharactersWithSpaces>
  <SharedDoc>false</SharedDoc>
  <HLinks>
    <vt:vector size="18" baseType="variant">
      <vt:variant>
        <vt:i4>5767181</vt:i4>
      </vt:variant>
      <vt:variant>
        <vt:i4>6</vt:i4>
      </vt:variant>
      <vt:variant>
        <vt:i4>0</vt:i4>
      </vt:variant>
      <vt:variant>
        <vt:i4>5</vt:i4>
      </vt:variant>
      <vt:variant>
        <vt:lpwstr>http://www.bristol.ac.uk/red/support/humantissue/humantissuenew/</vt:lpwstr>
      </vt:variant>
      <vt:variant>
        <vt:lpwstr/>
      </vt:variant>
      <vt:variant>
        <vt:i4>5767181</vt:i4>
      </vt:variant>
      <vt:variant>
        <vt:i4>3</vt:i4>
      </vt:variant>
      <vt:variant>
        <vt:i4>0</vt:i4>
      </vt:variant>
      <vt:variant>
        <vt:i4>5</vt:i4>
      </vt:variant>
      <vt:variant>
        <vt:lpwstr>http://www.bristol.ac.uk/red/support/humantissue/humantissuenew/</vt:lpwstr>
      </vt:variant>
      <vt:variant>
        <vt:lpwstr/>
      </vt:variant>
      <vt:variant>
        <vt:i4>5767247</vt:i4>
      </vt:variant>
      <vt:variant>
        <vt:i4>0</vt:i4>
      </vt:variant>
      <vt:variant>
        <vt:i4>0</vt:i4>
      </vt:variant>
      <vt:variant>
        <vt:i4>5</vt:i4>
      </vt:variant>
      <vt:variant>
        <vt:lpwstr>http://www.nres.npsa.nhs.uk/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Act 2004</dc:title>
  <dc:creator>pmrlg</dc:creator>
  <cp:lastModifiedBy>Rachel Davies</cp:lastModifiedBy>
  <cp:revision>4</cp:revision>
  <cp:lastPrinted>2015-03-04T16:13:00Z</cp:lastPrinted>
  <dcterms:created xsi:type="dcterms:W3CDTF">2022-04-06T13:12:00Z</dcterms:created>
  <dcterms:modified xsi:type="dcterms:W3CDTF">2022-04-06T13:27:00Z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